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A8FE" w14:textId="61A8C73A" w:rsidR="00FD20C0" w:rsidRDefault="00FD20C0" w:rsidP="00FD20C0">
      <w:pPr>
        <w:jc w:val="center"/>
        <w:rPr>
          <w:b/>
          <w:bCs/>
          <w:color w:val="2B6B9E"/>
          <w:sz w:val="24"/>
          <w:szCs w:val="24"/>
          <w:u w:val="single"/>
        </w:rPr>
      </w:pPr>
      <w:r>
        <w:rPr>
          <w:b/>
          <w:bCs/>
          <w:color w:val="2B6B9E"/>
          <w:sz w:val="24"/>
          <w:szCs w:val="24"/>
          <w:u w:val="single"/>
        </w:rPr>
        <w:t>Recruitment Policy</w:t>
      </w:r>
      <w:r w:rsidR="004F1868">
        <w:rPr>
          <w:b/>
          <w:bCs/>
          <w:color w:val="2B6B9E"/>
          <w:sz w:val="24"/>
          <w:szCs w:val="24"/>
          <w:u w:val="single"/>
        </w:rPr>
        <w:t xml:space="preserve"> Template</w:t>
      </w:r>
    </w:p>
    <w:p w14:paraId="054616A5" w14:textId="7546B22F" w:rsidR="002516C8" w:rsidRPr="009E6276" w:rsidRDefault="002516C8" w:rsidP="002516C8">
      <w:pPr>
        <w:rPr>
          <w:color w:val="2B6B9E"/>
        </w:rPr>
      </w:pPr>
      <w:r w:rsidRPr="1BFC5797">
        <w:rPr>
          <w:color w:val="2B6B9E"/>
        </w:rPr>
        <w:t xml:space="preserve">This addendum forms an integral part of the HR policy of </w:t>
      </w:r>
      <w:r w:rsidRPr="1BFC5797">
        <w:rPr>
          <w:b/>
          <w:bCs/>
          <w:color w:val="2B6B9E"/>
        </w:rPr>
        <w:t>[Company Name]</w:t>
      </w:r>
      <w:r w:rsidRPr="1BFC5797">
        <w:rPr>
          <w:color w:val="2B6B9E"/>
        </w:rPr>
        <w:t xml:space="preserve"> and is binding to all companies listed under </w:t>
      </w:r>
      <w:r w:rsidRPr="1BFC5797">
        <w:rPr>
          <w:b/>
          <w:bCs/>
          <w:color w:val="2B6B9E"/>
        </w:rPr>
        <w:t>[Company Name]</w:t>
      </w:r>
      <w:r w:rsidRPr="1BFC5797">
        <w:rPr>
          <w:color w:val="2B6B9E"/>
        </w:rPr>
        <w:t xml:space="preserve">. </w:t>
      </w:r>
    </w:p>
    <w:p w14:paraId="2DAF27CA" w14:textId="77777777" w:rsidR="00FD20C0" w:rsidRDefault="00FD20C0" w:rsidP="00FD20C0">
      <w:pPr>
        <w:pStyle w:val="ListParagraph"/>
        <w:numPr>
          <w:ilvl w:val="0"/>
          <w:numId w:val="3"/>
        </w:numPr>
        <w:rPr>
          <w:color w:val="2B6B9E"/>
        </w:rPr>
      </w:pPr>
      <w:r w:rsidRPr="00C03A1F">
        <w:rPr>
          <w:color w:val="2B6B9E"/>
        </w:rPr>
        <w:t xml:space="preserve">Effective </w:t>
      </w:r>
      <w:r w:rsidRPr="00AA03FC">
        <w:rPr>
          <w:b/>
          <w:bCs/>
          <w:color w:val="2B6B9E"/>
        </w:rPr>
        <w:t>[Date]</w:t>
      </w:r>
      <w:r>
        <w:rPr>
          <w:b/>
          <w:bCs/>
          <w:color w:val="2B6B9E"/>
        </w:rPr>
        <w:t xml:space="preserve"> </w:t>
      </w:r>
      <w:r w:rsidRPr="00C03A1F">
        <w:rPr>
          <w:color w:val="2B6B9E"/>
        </w:rPr>
        <w:t xml:space="preserve">all companies under the </w:t>
      </w:r>
      <w:r w:rsidRPr="00A65203">
        <w:rPr>
          <w:b/>
          <w:bCs/>
          <w:color w:val="2B6B9E"/>
        </w:rPr>
        <w:t>[Company Name]</w:t>
      </w:r>
      <w:r w:rsidRPr="00C03A1F">
        <w:rPr>
          <w:color w:val="2B6B9E"/>
        </w:rPr>
        <w:t xml:space="preserve"> management shall adopt a “zero fees</w:t>
      </w:r>
      <w:r>
        <w:rPr>
          <w:color w:val="2B6B9E"/>
        </w:rPr>
        <w:t>”</w:t>
      </w:r>
      <w:r w:rsidRPr="00C03A1F">
        <w:rPr>
          <w:color w:val="2B6B9E"/>
        </w:rPr>
        <w:t xml:space="preserve"> policy in line with the relevant rules of the ethical recruitment standards </w:t>
      </w:r>
      <w:r>
        <w:rPr>
          <w:color w:val="2B6B9E"/>
        </w:rPr>
        <w:t>and the</w:t>
      </w:r>
      <w:r w:rsidRPr="00C03A1F">
        <w:rPr>
          <w:color w:val="2B6B9E"/>
        </w:rPr>
        <w:t xml:space="preserve"> </w:t>
      </w:r>
      <w:r>
        <w:rPr>
          <w:color w:val="2B6B9E"/>
        </w:rPr>
        <w:t>“Employer Pays Principle”.</w:t>
      </w:r>
    </w:p>
    <w:p w14:paraId="3396402F" w14:textId="77777777" w:rsidR="00FD20C0" w:rsidRDefault="00FD20C0" w:rsidP="00FD20C0">
      <w:pPr>
        <w:pStyle w:val="ListParagraph"/>
        <w:rPr>
          <w:color w:val="2B6B9E"/>
        </w:rPr>
      </w:pPr>
    </w:p>
    <w:p w14:paraId="26290FB6" w14:textId="77777777" w:rsidR="00FD20C0" w:rsidRDefault="00FD20C0" w:rsidP="00FD20C0">
      <w:pPr>
        <w:pStyle w:val="ListParagraph"/>
        <w:numPr>
          <w:ilvl w:val="0"/>
          <w:numId w:val="3"/>
        </w:numPr>
        <w:rPr>
          <w:color w:val="2B6B9E"/>
        </w:rPr>
      </w:pPr>
      <w:r w:rsidRPr="00C03A1F">
        <w:rPr>
          <w:color w:val="2B6B9E"/>
        </w:rPr>
        <w:t>Each company shall ensure that the authorized recruitment agents in the country of origin of the candidates shall not charge any recruitment or processing fees including any upfront deposits or security payments for the provision of recruitment services.</w:t>
      </w:r>
    </w:p>
    <w:p w14:paraId="104C7B48" w14:textId="77777777" w:rsidR="00FD20C0" w:rsidRPr="00C03A1F" w:rsidRDefault="00FD20C0" w:rsidP="00FD20C0">
      <w:pPr>
        <w:pStyle w:val="ListParagraph"/>
        <w:rPr>
          <w:color w:val="2B6B9E"/>
        </w:rPr>
      </w:pPr>
    </w:p>
    <w:p w14:paraId="61223B8B" w14:textId="77777777" w:rsidR="00FD20C0" w:rsidRDefault="00FD20C0" w:rsidP="00FD20C0">
      <w:pPr>
        <w:pStyle w:val="ListParagraph"/>
        <w:numPr>
          <w:ilvl w:val="0"/>
          <w:numId w:val="3"/>
        </w:numPr>
        <w:rPr>
          <w:color w:val="2B6B9E"/>
        </w:rPr>
      </w:pPr>
      <w:r w:rsidRPr="00C03A1F">
        <w:rPr>
          <w:color w:val="2B6B9E"/>
        </w:rPr>
        <w:t xml:space="preserve">Prohibits the confiscation or retention of the workers passport or other </w:t>
      </w:r>
      <w:r w:rsidRPr="00407EC8">
        <w:rPr>
          <w:color w:val="2B6B9E"/>
        </w:rPr>
        <w:t xml:space="preserve">personal documents by the local agents. </w:t>
      </w:r>
    </w:p>
    <w:p w14:paraId="79531AC9" w14:textId="77777777" w:rsidR="00FD20C0" w:rsidRPr="00407EC8" w:rsidRDefault="00FD20C0" w:rsidP="00FD20C0">
      <w:pPr>
        <w:pStyle w:val="ListParagraph"/>
        <w:rPr>
          <w:color w:val="2B6B9E"/>
        </w:rPr>
      </w:pPr>
    </w:p>
    <w:p w14:paraId="04378251" w14:textId="77777777" w:rsidR="00FD20C0" w:rsidRDefault="00FD20C0" w:rsidP="00FD20C0">
      <w:pPr>
        <w:pStyle w:val="ListParagraph"/>
        <w:numPr>
          <w:ilvl w:val="0"/>
          <w:numId w:val="3"/>
        </w:numPr>
        <w:rPr>
          <w:color w:val="2B6B9E"/>
        </w:rPr>
      </w:pPr>
      <w:r w:rsidRPr="00407EC8">
        <w:rPr>
          <w:color w:val="2B6B9E"/>
        </w:rPr>
        <w:t>The recruitment agencies in the country of origin of the candidates shall not use any sub-agents without prior written approval from the HR department.</w:t>
      </w:r>
    </w:p>
    <w:p w14:paraId="608F031D" w14:textId="77777777" w:rsidR="00FD20C0" w:rsidRPr="00407EC8" w:rsidRDefault="00FD20C0" w:rsidP="00FD20C0">
      <w:pPr>
        <w:pStyle w:val="ListParagraph"/>
        <w:rPr>
          <w:color w:val="2B6B9E"/>
        </w:rPr>
      </w:pPr>
    </w:p>
    <w:p w14:paraId="69775762" w14:textId="29F3B58E" w:rsidR="00FD20C0" w:rsidRDefault="00FD20C0" w:rsidP="00FD20C0">
      <w:pPr>
        <w:pStyle w:val="ListParagraph"/>
        <w:numPr>
          <w:ilvl w:val="0"/>
          <w:numId w:val="3"/>
        </w:numPr>
        <w:rPr>
          <w:color w:val="2B6B9E"/>
        </w:rPr>
      </w:pPr>
      <w:r w:rsidRPr="00AB628F">
        <w:rPr>
          <w:color w:val="2B6B9E"/>
        </w:rPr>
        <w:t xml:space="preserve">All candidates shall be informed in advance that </w:t>
      </w:r>
      <w:r w:rsidRPr="00A65203">
        <w:rPr>
          <w:b/>
          <w:bCs/>
          <w:color w:val="2B6B9E"/>
        </w:rPr>
        <w:t>[Company Name]</w:t>
      </w:r>
      <w:r w:rsidRPr="00AB628F">
        <w:rPr>
          <w:color w:val="2B6B9E"/>
        </w:rPr>
        <w:t xml:space="preserve"> is responsible for the payment of all recruitment or processing fees relating to the recruitment of workers and that no candidate shall pay any fees or gifts towards </w:t>
      </w:r>
      <w:r w:rsidR="004026F1">
        <w:rPr>
          <w:color w:val="2B6B9E"/>
        </w:rPr>
        <w:t>their</w:t>
      </w:r>
      <w:r w:rsidRPr="00AB628F">
        <w:rPr>
          <w:color w:val="2B6B9E"/>
        </w:rPr>
        <w:t xml:space="preserve"> employment or selection in course of </w:t>
      </w:r>
      <w:r w:rsidR="004026F1">
        <w:rPr>
          <w:color w:val="2B6B9E"/>
        </w:rPr>
        <w:t>their</w:t>
      </w:r>
      <w:r w:rsidRPr="00AB628F">
        <w:rPr>
          <w:color w:val="2B6B9E"/>
        </w:rPr>
        <w:t xml:space="preserve"> employment to any representatives of </w:t>
      </w:r>
      <w:r w:rsidRPr="00A65203">
        <w:rPr>
          <w:b/>
          <w:bCs/>
          <w:color w:val="2B6B9E"/>
        </w:rPr>
        <w:t>[Company Name]</w:t>
      </w:r>
      <w:r w:rsidRPr="00AB628F">
        <w:rPr>
          <w:color w:val="2B6B9E"/>
        </w:rPr>
        <w:t xml:space="preserve"> or the authorized recruitment agents of </w:t>
      </w:r>
      <w:r w:rsidRPr="00A65203">
        <w:rPr>
          <w:b/>
          <w:bCs/>
          <w:color w:val="2B6B9E"/>
        </w:rPr>
        <w:t>[Company Name]</w:t>
      </w:r>
      <w:r w:rsidRPr="00AB628F">
        <w:rPr>
          <w:color w:val="2B6B9E"/>
        </w:rPr>
        <w:t xml:space="preserve">. </w:t>
      </w:r>
    </w:p>
    <w:p w14:paraId="2260415D" w14:textId="77777777" w:rsidR="00FD20C0" w:rsidRPr="00AB628F" w:rsidRDefault="00FD20C0" w:rsidP="00FD20C0">
      <w:pPr>
        <w:pStyle w:val="ListParagraph"/>
        <w:rPr>
          <w:color w:val="2B6B9E"/>
        </w:rPr>
      </w:pPr>
    </w:p>
    <w:p w14:paraId="61B862CD" w14:textId="77777777" w:rsidR="00FD20C0" w:rsidRDefault="00FD20C0" w:rsidP="00FD20C0">
      <w:pPr>
        <w:pStyle w:val="ListParagraph"/>
        <w:numPr>
          <w:ilvl w:val="0"/>
          <w:numId w:val="3"/>
        </w:numPr>
        <w:rPr>
          <w:color w:val="2B6B9E"/>
        </w:rPr>
      </w:pPr>
      <w:r w:rsidRPr="00AB628F">
        <w:rPr>
          <w:color w:val="2B6B9E"/>
        </w:rPr>
        <w:t xml:space="preserve">The authorized local agents shall ensure that any job advertisements placed by the local agent for recruiting workers includes a statement to the effect that no recruitment or processing fees shall be charged to candidates for the employment for any companies under the </w:t>
      </w:r>
      <w:r w:rsidRPr="00A65203">
        <w:rPr>
          <w:b/>
          <w:bCs/>
          <w:color w:val="2B6B9E"/>
        </w:rPr>
        <w:t>[Company Name]</w:t>
      </w:r>
      <w:r>
        <w:rPr>
          <w:b/>
          <w:bCs/>
          <w:color w:val="2B6B9E"/>
        </w:rPr>
        <w:t xml:space="preserve"> </w:t>
      </w:r>
      <w:r w:rsidRPr="00AB628F">
        <w:rPr>
          <w:color w:val="2B6B9E"/>
        </w:rPr>
        <w:t xml:space="preserve">management. </w:t>
      </w:r>
    </w:p>
    <w:p w14:paraId="79B34064" w14:textId="77777777" w:rsidR="00FD20C0" w:rsidRPr="00AB628F" w:rsidRDefault="00FD20C0" w:rsidP="00FD20C0">
      <w:pPr>
        <w:pStyle w:val="ListParagraph"/>
        <w:rPr>
          <w:color w:val="2B6B9E"/>
        </w:rPr>
      </w:pPr>
    </w:p>
    <w:p w14:paraId="6CBA2813" w14:textId="77777777" w:rsidR="00FD20C0" w:rsidRDefault="00FD20C0" w:rsidP="00FD20C0">
      <w:pPr>
        <w:pStyle w:val="ListParagraph"/>
        <w:numPr>
          <w:ilvl w:val="0"/>
          <w:numId w:val="3"/>
        </w:numPr>
        <w:rPr>
          <w:color w:val="2B6B9E"/>
        </w:rPr>
      </w:pPr>
      <w:r w:rsidRPr="00AB628F">
        <w:rPr>
          <w:color w:val="2B6B9E"/>
        </w:rPr>
        <w:t xml:space="preserve">The HR department representatives shall clearly inform the worker in a language they understand the nature of the role and the working and living conditions in </w:t>
      </w:r>
      <w:r>
        <w:rPr>
          <w:b/>
          <w:bCs/>
          <w:color w:val="2B6B9E"/>
        </w:rPr>
        <w:t>[Country of Destination]</w:t>
      </w:r>
      <w:r w:rsidRPr="00AB628F">
        <w:rPr>
          <w:color w:val="2B6B9E"/>
        </w:rPr>
        <w:t>, including the risks of the work to be performed and that the worker is not required to pay any recruitment or processing fees.</w:t>
      </w:r>
    </w:p>
    <w:p w14:paraId="3CA04289" w14:textId="77777777" w:rsidR="00FD20C0" w:rsidRPr="00AB628F" w:rsidRDefault="00FD20C0" w:rsidP="00FD20C0">
      <w:pPr>
        <w:pStyle w:val="ListParagraph"/>
        <w:rPr>
          <w:color w:val="2B6B9E"/>
        </w:rPr>
      </w:pPr>
    </w:p>
    <w:p w14:paraId="6F501C8D" w14:textId="48F1188B" w:rsidR="00F95315" w:rsidRDefault="00FD20C0" w:rsidP="002B7252">
      <w:pPr>
        <w:pStyle w:val="ListParagraph"/>
        <w:numPr>
          <w:ilvl w:val="0"/>
          <w:numId w:val="3"/>
        </w:numPr>
        <w:rPr>
          <w:color w:val="2B6B9E"/>
        </w:rPr>
      </w:pPr>
      <w:r w:rsidRPr="00F95315">
        <w:rPr>
          <w:color w:val="2B6B9E"/>
        </w:rPr>
        <w:t xml:space="preserve">Upon the arrival of the candidates in </w:t>
      </w:r>
      <w:r w:rsidRPr="00F95315">
        <w:rPr>
          <w:b/>
          <w:bCs/>
          <w:color w:val="2B6B9E"/>
        </w:rPr>
        <w:t>[Country of Destination]</w:t>
      </w:r>
      <w:r w:rsidRPr="00F95315">
        <w:rPr>
          <w:color w:val="2B6B9E"/>
        </w:rPr>
        <w:t xml:space="preserve">, the workers welfare representatives shall carry out an interview with the workers and obtain the information required as per the </w:t>
      </w:r>
      <w:r w:rsidRPr="009E6276">
        <w:rPr>
          <w:color w:val="2B6B9E"/>
        </w:rPr>
        <w:t>company’s new starters checklist.</w:t>
      </w:r>
    </w:p>
    <w:p w14:paraId="6BF68BEE" w14:textId="77777777" w:rsidR="002B7252" w:rsidRPr="002B7252" w:rsidRDefault="002B7252" w:rsidP="002B7252">
      <w:pPr>
        <w:pStyle w:val="ListParagraph"/>
        <w:rPr>
          <w:color w:val="2B6B9E"/>
        </w:rPr>
      </w:pPr>
    </w:p>
    <w:p w14:paraId="2375742C" w14:textId="77777777" w:rsidR="002B7252" w:rsidRPr="002B7252" w:rsidRDefault="002B7252" w:rsidP="002B7252">
      <w:pPr>
        <w:rPr>
          <w:color w:val="2B6B9E"/>
        </w:rPr>
      </w:pPr>
    </w:p>
    <w:p w14:paraId="4AEEBAB3" w14:textId="77777777" w:rsidR="00B73F07" w:rsidRDefault="00FD20C0" w:rsidP="00B73F07">
      <w:pPr>
        <w:pStyle w:val="ListParagraph"/>
        <w:numPr>
          <w:ilvl w:val="0"/>
          <w:numId w:val="3"/>
        </w:numPr>
        <w:rPr>
          <w:color w:val="2B6B9E"/>
        </w:rPr>
      </w:pPr>
      <w:r w:rsidRPr="00AF3A34">
        <w:rPr>
          <w:color w:val="2B6B9E"/>
        </w:rPr>
        <w:t xml:space="preserve">If the HR department discovers that any candidate has paid recruitment or processing fees of any kind to the representatives of the authorized local agent or </w:t>
      </w:r>
      <w:r w:rsidRPr="00B73F07">
        <w:rPr>
          <w:b/>
          <w:bCs/>
          <w:color w:val="2B6B9E"/>
        </w:rPr>
        <w:t>[Company Name]</w:t>
      </w:r>
      <w:r w:rsidRPr="00B73F07">
        <w:rPr>
          <w:color w:val="2B6B9E"/>
        </w:rPr>
        <w:t xml:space="preserve"> </w:t>
      </w:r>
      <w:r w:rsidRPr="00AF3A34">
        <w:rPr>
          <w:color w:val="2B6B9E"/>
        </w:rPr>
        <w:lastRenderedPageBreak/>
        <w:t>representatives it shall obtain reimbursements from the responsible party and reimburse the amount to the worker.</w:t>
      </w:r>
    </w:p>
    <w:p w14:paraId="437D3B7F" w14:textId="77777777" w:rsidR="00B73F07" w:rsidRPr="00B73F07" w:rsidRDefault="00B73F07" w:rsidP="00B73F07">
      <w:pPr>
        <w:pStyle w:val="ListParagraph"/>
        <w:rPr>
          <w:color w:val="2B6B9E"/>
        </w:rPr>
      </w:pPr>
    </w:p>
    <w:p w14:paraId="0A403CB8" w14:textId="77777777" w:rsidR="00B73F07" w:rsidRDefault="00FD20C0" w:rsidP="00B73F07">
      <w:pPr>
        <w:pStyle w:val="ListParagraph"/>
        <w:numPr>
          <w:ilvl w:val="0"/>
          <w:numId w:val="3"/>
        </w:numPr>
        <w:rPr>
          <w:color w:val="2B6B9E"/>
        </w:rPr>
      </w:pPr>
      <w:r w:rsidRPr="00B73F07">
        <w:rPr>
          <w:color w:val="2B6B9E"/>
        </w:rPr>
        <w:t xml:space="preserve">All payments made to the authorized local agents for recruitment fees by </w:t>
      </w:r>
      <w:r w:rsidRPr="00454EEB">
        <w:rPr>
          <w:b/>
          <w:bCs/>
          <w:color w:val="2B6B9E"/>
        </w:rPr>
        <w:t>[Company Name]</w:t>
      </w:r>
      <w:r w:rsidRPr="00B73F07">
        <w:rPr>
          <w:color w:val="2B6B9E"/>
        </w:rPr>
        <w:t xml:space="preserve"> shall be processed and paid only after the HR department has verified if all candidates have been recruited as per the guidelines provided by </w:t>
      </w:r>
      <w:r w:rsidRPr="00454EEB">
        <w:rPr>
          <w:b/>
          <w:bCs/>
          <w:color w:val="2B6B9E"/>
        </w:rPr>
        <w:t>[Company Name]</w:t>
      </w:r>
      <w:r w:rsidRPr="00B73F07">
        <w:rPr>
          <w:color w:val="2B6B9E"/>
        </w:rPr>
        <w:t>.</w:t>
      </w:r>
    </w:p>
    <w:p w14:paraId="5D6610D2" w14:textId="77777777" w:rsidR="00B73F07" w:rsidRPr="00B73F07" w:rsidRDefault="00B73F07" w:rsidP="00B73F07">
      <w:pPr>
        <w:pStyle w:val="ListParagraph"/>
        <w:rPr>
          <w:color w:val="2B6B9E"/>
          <w:highlight w:val="yellow"/>
        </w:rPr>
      </w:pPr>
    </w:p>
    <w:p w14:paraId="5A662F38" w14:textId="08FDC376" w:rsidR="00FD20C0" w:rsidRPr="00B73F07" w:rsidRDefault="00FD20C0" w:rsidP="00B73F07">
      <w:pPr>
        <w:pStyle w:val="ListParagraph"/>
        <w:numPr>
          <w:ilvl w:val="0"/>
          <w:numId w:val="3"/>
        </w:numPr>
        <w:rPr>
          <w:color w:val="2B6B9E"/>
        </w:rPr>
      </w:pPr>
      <w:r w:rsidRPr="00B73F07">
        <w:rPr>
          <w:color w:val="2B6B9E"/>
        </w:rPr>
        <w:t xml:space="preserve">The HR department shall conduct another round of interviews with the workers related to the recruitment fees and procedures upon completion of their probation period. </w:t>
      </w:r>
    </w:p>
    <w:p w14:paraId="1D2E62A5" w14:textId="77777777" w:rsidR="00FD20C0" w:rsidRDefault="00FD20C0" w:rsidP="00FD20C0">
      <w:pPr>
        <w:pStyle w:val="ListParagraph"/>
        <w:rPr>
          <w:color w:val="2B6B9E"/>
        </w:rPr>
      </w:pPr>
    </w:p>
    <w:p w14:paraId="178B0B9E" w14:textId="23124D76" w:rsidR="00FD20C0" w:rsidRDefault="00FD20C0" w:rsidP="00FD20C0">
      <w:pPr>
        <w:pStyle w:val="ListParagraph"/>
        <w:numPr>
          <w:ilvl w:val="0"/>
          <w:numId w:val="3"/>
        </w:numPr>
        <w:rPr>
          <w:color w:val="2B6B9E"/>
        </w:rPr>
      </w:pPr>
      <w:r w:rsidRPr="00826635">
        <w:rPr>
          <w:color w:val="2B6B9E"/>
        </w:rPr>
        <w:t xml:space="preserve">If the HR department obtains substantial proof for fees charged to the </w:t>
      </w:r>
      <w:r w:rsidR="00917204" w:rsidRPr="00826635">
        <w:rPr>
          <w:color w:val="2B6B9E"/>
        </w:rPr>
        <w:t>workers,</w:t>
      </w:r>
      <w:r w:rsidRPr="00826635">
        <w:rPr>
          <w:color w:val="2B6B9E"/>
        </w:rPr>
        <w:t xml:space="preserve"> it shall deduct the fees from the pending payments of the authorized recruitment agents and shall reimburse the worker in </w:t>
      </w:r>
      <w:r>
        <w:rPr>
          <w:b/>
          <w:bCs/>
          <w:color w:val="2B6B9E"/>
        </w:rPr>
        <w:t>[Country of Destination]</w:t>
      </w:r>
      <w:r w:rsidRPr="00826635">
        <w:rPr>
          <w:color w:val="2B6B9E"/>
        </w:rPr>
        <w:t xml:space="preserve">. </w:t>
      </w:r>
    </w:p>
    <w:p w14:paraId="4C495E4D" w14:textId="77777777" w:rsidR="00FD20C0" w:rsidRDefault="00FD20C0" w:rsidP="00FD20C0">
      <w:pPr>
        <w:pStyle w:val="ListParagraph"/>
        <w:rPr>
          <w:color w:val="2B6B9E"/>
        </w:rPr>
      </w:pPr>
    </w:p>
    <w:p w14:paraId="35B388C3" w14:textId="77777777" w:rsidR="00FD20C0" w:rsidRPr="00D43374" w:rsidRDefault="00FD20C0" w:rsidP="00FD20C0">
      <w:pPr>
        <w:rPr>
          <w:b/>
          <w:bCs/>
          <w:color w:val="2B6B9E"/>
        </w:rPr>
      </w:pPr>
      <w:r w:rsidRPr="00D43374">
        <w:rPr>
          <w:b/>
          <w:bCs/>
          <w:color w:val="2B6B9E"/>
        </w:rPr>
        <w:t xml:space="preserve">In case of any claims/grievances made by the candidates regarding unauthorized service fees being charged the following procedure shall be implemented: </w:t>
      </w:r>
    </w:p>
    <w:p w14:paraId="4392840C" w14:textId="77777777" w:rsidR="00FD20C0" w:rsidRPr="0024422D" w:rsidRDefault="00FD20C0" w:rsidP="00FD20C0">
      <w:pPr>
        <w:pStyle w:val="ListParagraph"/>
        <w:rPr>
          <w:color w:val="2B6B9E"/>
        </w:rPr>
      </w:pPr>
    </w:p>
    <w:p w14:paraId="4E9D09D3" w14:textId="6C51D6E9" w:rsidR="00FD20C0" w:rsidRPr="0024422D" w:rsidRDefault="00FD20C0" w:rsidP="003633ED">
      <w:pPr>
        <w:pStyle w:val="ListParagraph"/>
        <w:rPr>
          <w:color w:val="2B6B9E"/>
        </w:rPr>
      </w:pPr>
      <w:r w:rsidRPr="00F21707">
        <w:rPr>
          <w:b/>
          <w:bCs/>
          <w:color w:val="2B6B9E"/>
          <w:u w:val="single" w:color="2B6B9E"/>
        </w:rPr>
        <w:t>Step 1:</w:t>
      </w:r>
      <w:r w:rsidRPr="0024422D">
        <w:rPr>
          <w:color w:val="2B6B9E"/>
        </w:rPr>
        <w:t xml:space="preserve"> Clients HR </w:t>
      </w:r>
      <w:r w:rsidR="00D2778C">
        <w:rPr>
          <w:color w:val="2B6B9E"/>
        </w:rPr>
        <w:t>and</w:t>
      </w:r>
      <w:r w:rsidRPr="0024422D">
        <w:rPr>
          <w:color w:val="2B6B9E"/>
        </w:rPr>
        <w:t xml:space="preserve"> Welfare Department shall submit report of complete investigation into the</w:t>
      </w:r>
      <w:r w:rsidR="003633ED">
        <w:rPr>
          <w:color w:val="2B6B9E"/>
        </w:rPr>
        <w:t xml:space="preserve"> </w:t>
      </w:r>
      <w:r w:rsidRPr="0024422D">
        <w:rPr>
          <w:color w:val="2B6B9E"/>
        </w:rPr>
        <w:t>claims by the candidates within 15 days of arrival of candidates</w:t>
      </w:r>
      <w:r w:rsidR="003633ED">
        <w:rPr>
          <w:color w:val="2B6B9E"/>
        </w:rPr>
        <w:t>.</w:t>
      </w:r>
    </w:p>
    <w:p w14:paraId="798EBA57" w14:textId="77777777" w:rsidR="00FD20C0" w:rsidRPr="0024422D" w:rsidRDefault="00FD20C0" w:rsidP="00FD20C0">
      <w:pPr>
        <w:pStyle w:val="ListParagraph"/>
        <w:rPr>
          <w:color w:val="2B6B9E"/>
        </w:rPr>
      </w:pPr>
    </w:p>
    <w:p w14:paraId="4656369F" w14:textId="47226C89" w:rsidR="00FD20C0" w:rsidRPr="0024422D" w:rsidRDefault="00FD20C0" w:rsidP="003633ED">
      <w:pPr>
        <w:pStyle w:val="ListParagraph"/>
        <w:rPr>
          <w:color w:val="2B6B9E"/>
        </w:rPr>
      </w:pPr>
      <w:r w:rsidRPr="00F21707">
        <w:rPr>
          <w:b/>
          <w:bCs/>
          <w:color w:val="2B6B9E"/>
          <w:u w:val="single" w:color="2B6B9E"/>
        </w:rPr>
        <w:t xml:space="preserve">Step 2: </w:t>
      </w:r>
      <w:r w:rsidRPr="0024422D">
        <w:rPr>
          <w:color w:val="2B6B9E"/>
        </w:rPr>
        <w:t xml:space="preserve">The </w:t>
      </w:r>
      <w:r w:rsidR="009B2592">
        <w:rPr>
          <w:color w:val="2B6B9E"/>
        </w:rPr>
        <w:t>Agent</w:t>
      </w:r>
      <w:r w:rsidRPr="0024422D">
        <w:rPr>
          <w:color w:val="2B6B9E"/>
        </w:rPr>
        <w:t xml:space="preserve"> shall have 15 days from date of receipt of the report to conduct their own</w:t>
      </w:r>
      <w:r w:rsidR="003633ED">
        <w:rPr>
          <w:color w:val="2B6B9E"/>
        </w:rPr>
        <w:t xml:space="preserve"> </w:t>
      </w:r>
      <w:r w:rsidRPr="0024422D">
        <w:rPr>
          <w:color w:val="2B6B9E"/>
        </w:rPr>
        <w:t>investigation into the claims and respond with justification or mitigation measures including a</w:t>
      </w:r>
      <w:r w:rsidR="00A70ED0">
        <w:rPr>
          <w:color w:val="2B6B9E"/>
        </w:rPr>
        <w:t xml:space="preserve"> </w:t>
      </w:r>
      <w:r w:rsidRPr="0024422D">
        <w:rPr>
          <w:color w:val="2B6B9E"/>
        </w:rPr>
        <w:t>proposed reimbursement methodology for valid claims.</w:t>
      </w:r>
    </w:p>
    <w:p w14:paraId="747A3EEF" w14:textId="77777777" w:rsidR="00FD20C0" w:rsidRPr="0024422D" w:rsidRDefault="00FD20C0" w:rsidP="00FD20C0">
      <w:pPr>
        <w:pStyle w:val="ListParagraph"/>
        <w:rPr>
          <w:color w:val="2B6B9E"/>
        </w:rPr>
      </w:pPr>
    </w:p>
    <w:p w14:paraId="3114B358" w14:textId="5F6D89C1" w:rsidR="00FD20C0" w:rsidRPr="0024422D" w:rsidRDefault="00FD20C0" w:rsidP="003633ED">
      <w:pPr>
        <w:pStyle w:val="ListParagraph"/>
        <w:rPr>
          <w:color w:val="2B6B9E"/>
        </w:rPr>
      </w:pPr>
      <w:r w:rsidRPr="00F21707">
        <w:rPr>
          <w:b/>
          <w:bCs/>
          <w:color w:val="2B6B9E"/>
          <w:u w:val="single" w:color="2B6B9E"/>
        </w:rPr>
        <w:t xml:space="preserve">Step 3: </w:t>
      </w:r>
      <w:r w:rsidRPr="0024422D">
        <w:rPr>
          <w:color w:val="2B6B9E"/>
        </w:rPr>
        <w:t xml:space="preserve">Upon receipt of response from the </w:t>
      </w:r>
      <w:r w:rsidR="009B2592">
        <w:rPr>
          <w:color w:val="2B6B9E"/>
        </w:rPr>
        <w:t>Agent</w:t>
      </w:r>
      <w:r w:rsidR="009B2592" w:rsidRPr="0024422D">
        <w:rPr>
          <w:color w:val="2B6B9E"/>
        </w:rPr>
        <w:t xml:space="preserve"> </w:t>
      </w:r>
      <w:r w:rsidRPr="0024422D">
        <w:rPr>
          <w:color w:val="2B6B9E"/>
        </w:rPr>
        <w:t>the client shall verify the information received</w:t>
      </w:r>
      <w:r w:rsidR="003633ED">
        <w:rPr>
          <w:color w:val="2B6B9E"/>
        </w:rPr>
        <w:t xml:space="preserve"> </w:t>
      </w:r>
      <w:r w:rsidRPr="0024422D">
        <w:rPr>
          <w:color w:val="2B6B9E"/>
        </w:rPr>
        <w:t xml:space="preserve">and verify the justification provided. </w:t>
      </w:r>
    </w:p>
    <w:p w14:paraId="0230F337" w14:textId="5D0CF3B2" w:rsidR="00FD20C0" w:rsidRPr="0024422D" w:rsidRDefault="00FD20C0" w:rsidP="00FD20C0">
      <w:pPr>
        <w:pStyle w:val="ListParagraph"/>
        <w:rPr>
          <w:color w:val="2B6B9E"/>
        </w:rPr>
      </w:pPr>
    </w:p>
    <w:p w14:paraId="368F2F98" w14:textId="33E60915" w:rsidR="00FD20C0" w:rsidRPr="0024422D" w:rsidRDefault="00FD20C0" w:rsidP="003633ED">
      <w:pPr>
        <w:pStyle w:val="ListParagraph"/>
        <w:rPr>
          <w:color w:val="2B6B9E"/>
        </w:rPr>
      </w:pPr>
      <w:r w:rsidRPr="00F21707">
        <w:rPr>
          <w:b/>
          <w:bCs/>
          <w:color w:val="2B6B9E"/>
          <w:u w:val="single" w:color="2B6B9E"/>
        </w:rPr>
        <w:t>Step 4:</w:t>
      </w:r>
      <w:r w:rsidRPr="0024422D">
        <w:rPr>
          <w:color w:val="2B6B9E"/>
        </w:rPr>
        <w:t xml:space="preserve"> Client shall withhold the service fees for the cumulative claims raised by the candidates</w:t>
      </w:r>
      <w:r w:rsidR="003633ED">
        <w:rPr>
          <w:color w:val="2B6B9E"/>
        </w:rPr>
        <w:t xml:space="preserve"> </w:t>
      </w:r>
      <w:r w:rsidRPr="0024422D">
        <w:rPr>
          <w:color w:val="2B6B9E"/>
        </w:rPr>
        <w:t xml:space="preserve">and release the pending amount of the service fees due to the </w:t>
      </w:r>
      <w:r w:rsidR="009B2592">
        <w:rPr>
          <w:color w:val="2B6B9E"/>
        </w:rPr>
        <w:t>Agent</w:t>
      </w:r>
      <w:r w:rsidRPr="0024422D">
        <w:rPr>
          <w:color w:val="2B6B9E"/>
        </w:rPr>
        <w:t xml:space="preserve">. </w:t>
      </w:r>
    </w:p>
    <w:p w14:paraId="2E219E8E" w14:textId="012DF8BF" w:rsidR="00FD20C0" w:rsidRPr="0024422D" w:rsidRDefault="00FD20C0" w:rsidP="00FD20C0">
      <w:pPr>
        <w:pStyle w:val="ListParagraph"/>
        <w:rPr>
          <w:color w:val="2B6B9E"/>
        </w:rPr>
      </w:pPr>
    </w:p>
    <w:p w14:paraId="7B508DB2" w14:textId="19D40F3C" w:rsidR="00FD20C0" w:rsidRPr="0024422D" w:rsidRDefault="00FD20C0" w:rsidP="003633ED">
      <w:pPr>
        <w:pStyle w:val="ListParagraph"/>
        <w:rPr>
          <w:color w:val="2B6B9E"/>
        </w:rPr>
      </w:pPr>
      <w:r w:rsidRPr="00F21707">
        <w:rPr>
          <w:b/>
          <w:bCs/>
          <w:color w:val="2B6B9E"/>
          <w:u w:val="single" w:color="2B6B9E"/>
        </w:rPr>
        <w:t>Step 5:</w:t>
      </w:r>
      <w:r w:rsidRPr="0024422D">
        <w:rPr>
          <w:color w:val="2B6B9E"/>
        </w:rPr>
        <w:t xml:space="preserve"> The </w:t>
      </w:r>
      <w:r w:rsidR="009B2592">
        <w:rPr>
          <w:color w:val="2B6B9E"/>
        </w:rPr>
        <w:t>Agent</w:t>
      </w:r>
      <w:r w:rsidR="009B2592" w:rsidRPr="0024422D">
        <w:rPr>
          <w:color w:val="2B6B9E"/>
        </w:rPr>
        <w:t xml:space="preserve"> </w:t>
      </w:r>
      <w:r w:rsidRPr="0024422D">
        <w:rPr>
          <w:color w:val="2B6B9E"/>
        </w:rPr>
        <w:t>shall have 60 days from date of receipt of initial investigation report to secure</w:t>
      </w:r>
      <w:r w:rsidR="003633ED">
        <w:rPr>
          <w:color w:val="2B6B9E"/>
        </w:rPr>
        <w:t xml:space="preserve"> </w:t>
      </w:r>
      <w:r w:rsidRPr="0024422D">
        <w:rPr>
          <w:color w:val="2B6B9E"/>
        </w:rPr>
        <w:t>reimbursement of recruitment fees from the unauthorized third party based on the details</w:t>
      </w:r>
      <w:r w:rsidR="003633ED">
        <w:rPr>
          <w:color w:val="2B6B9E"/>
        </w:rPr>
        <w:t xml:space="preserve"> </w:t>
      </w:r>
      <w:r w:rsidRPr="0024422D">
        <w:rPr>
          <w:color w:val="2B6B9E"/>
        </w:rPr>
        <w:t>provided by the Client</w:t>
      </w:r>
      <w:r w:rsidR="003633ED">
        <w:rPr>
          <w:color w:val="2B6B9E"/>
        </w:rPr>
        <w:t>.</w:t>
      </w:r>
    </w:p>
    <w:p w14:paraId="5C58E51E" w14:textId="79109C8E" w:rsidR="00FD20C0" w:rsidRPr="0024422D" w:rsidRDefault="00FD20C0" w:rsidP="00FD20C0">
      <w:pPr>
        <w:pStyle w:val="ListParagraph"/>
        <w:rPr>
          <w:color w:val="2B6B9E"/>
        </w:rPr>
      </w:pPr>
    </w:p>
    <w:p w14:paraId="013AAB26" w14:textId="54A1A178" w:rsidR="00FD20C0" w:rsidRPr="0024422D" w:rsidRDefault="00FD20C0" w:rsidP="00463EE4">
      <w:pPr>
        <w:pStyle w:val="ListParagraph"/>
        <w:rPr>
          <w:color w:val="2B6B9E"/>
        </w:rPr>
      </w:pPr>
      <w:r w:rsidRPr="00F21707">
        <w:rPr>
          <w:b/>
          <w:bCs/>
          <w:color w:val="2B6B9E"/>
          <w:u w:val="single" w:color="2B6B9E"/>
        </w:rPr>
        <w:t>Step 6:</w:t>
      </w:r>
      <w:r w:rsidRPr="0024422D">
        <w:rPr>
          <w:color w:val="2B6B9E"/>
        </w:rPr>
        <w:t xml:space="preserve"> Client to conduct secondary round of interviews to re-establish the validity of the claims</w:t>
      </w:r>
      <w:r w:rsidR="00463EE4">
        <w:rPr>
          <w:color w:val="2B6B9E"/>
        </w:rPr>
        <w:t xml:space="preserve"> </w:t>
      </w:r>
      <w:r w:rsidRPr="0024422D">
        <w:rPr>
          <w:color w:val="2B6B9E"/>
        </w:rPr>
        <w:t>raised by each candidate and share the secondary investigation report</w:t>
      </w:r>
      <w:r w:rsidR="003633ED">
        <w:rPr>
          <w:color w:val="2B6B9E"/>
        </w:rPr>
        <w:t>.</w:t>
      </w:r>
    </w:p>
    <w:p w14:paraId="42C470CD" w14:textId="77777777" w:rsidR="00FD20C0" w:rsidRPr="0024422D" w:rsidRDefault="00FD20C0" w:rsidP="00FD20C0">
      <w:pPr>
        <w:pStyle w:val="ListParagraph"/>
        <w:rPr>
          <w:color w:val="2B6B9E"/>
        </w:rPr>
      </w:pPr>
    </w:p>
    <w:p w14:paraId="71FE114B" w14:textId="35357C0C" w:rsidR="00FD20C0" w:rsidRPr="0024422D" w:rsidRDefault="00FD20C0" w:rsidP="00463EE4">
      <w:pPr>
        <w:pStyle w:val="ListParagraph"/>
        <w:rPr>
          <w:color w:val="2B6B9E"/>
        </w:rPr>
      </w:pPr>
      <w:r w:rsidRPr="00F21707">
        <w:rPr>
          <w:b/>
          <w:bCs/>
          <w:color w:val="2B6B9E"/>
          <w:u w:val="single" w:color="2B6B9E"/>
        </w:rPr>
        <w:t>Step 7:</w:t>
      </w:r>
      <w:r w:rsidRPr="0024422D">
        <w:rPr>
          <w:color w:val="2B6B9E"/>
        </w:rPr>
        <w:t xml:space="preserve"> Client shall reimburse the unauthorized fees charged to the candidates to the direct bank</w:t>
      </w:r>
      <w:r w:rsidR="00463EE4">
        <w:rPr>
          <w:color w:val="2B6B9E"/>
        </w:rPr>
        <w:t xml:space="preserve"> </w:t>
      </w:r>
      <w:r w:rsidRPr="0024422D">
        <w:rPr>
          <w:color w:val="2B6B9E"/>
        </w:rPr>
        <w:t xml:space="preserve">account of the candidates and submit proof of reimbursement to </w:t>
      </w:r>
      <w:r w:rsidR="009B2592">
        <w:rPr>
          <w:color w:val="2B6B9E"/>
        </w:rPr>
        <w:t>Agent</w:t>
      </w:r>
      <w:r w:rsidR="003633ED">
        <w:rPr>
          <w:color w:val="2B6B9E"/>
        </w:rPr>
        <w:t>.</w:t>
      </w:r>
    </w:p>
    <w:p w14:paraId="3AEA6880" w14:textId="77777777" w:rsidR="00FD20C0" w:rsidRPr="0024422D" w:rsidRDefault="00FD20C0" w:rsidP="00FD20C0">
      <w:pPr>
        <w:pStyle w:val="ListParagraph"/>
        <w:rPr>
          <w:color w:val="2B6B9E"/>
        </w:rPr>
      </w:pPr>
    </w:p>
    <w:p w14:paraId="4DB7D2E3" w14:textId="77777777" w:rsidR="00FD20C0" w:rsidRPr="0024422D" w:rsidRDefault="00FD20C0" w:rsidP="00FD20C0">
      <w:pPr>
        <w:pStyle w:val="ListParagraph"/>
        <w:rPr>
          <w:color w:val="2B6B9E"/>
        </w:rPr>
      </w:pPr>
      <w:r w:rsidRPr="00F21707">
        <w:rPr>
          <w:b/>
          <w:bCs/>
          <w:color w:val="2B6B9E"/>
          <w:u w:val="single" w:color="2B6B9E"/>
        </w:rPr>
        <w:t>Step 8:</w:t>
      </w:r>
      <w:r w:rsidRPr="0024422D">
        <w:rPr>
          <w:color w:val="2B6B9E"/>
        </w:rPr>
        <w:t xml:space="preserve"> Client shall release all pending amounts due to the Agent minus the cumulative</w:t>
      </w:r>
    </w:p>
    <w:p w14:paraId="202226E2" w14:textId="60FA3E33" w:rsidR="00FD20C0" w:rsidRPr="0024422D" w:rsidRDefault="00FD20C0" w:rsidP="00FD20C0">
      <w:pPr>
        <w:pStyle w:val="ListParagraph"/>
        <w:rPr>
          <w:color w:val="2B6B9E"/>
        </w:rPr>
      </w:pPr>
      <w:r w:rsidRPr="0024422D">
        <w:rPr>
          <w:color w:val="2B6B9E"/>
        </w:rPr>
        <w:t xml:space="preserve">unauthorized fee reimbursement made to the candidates on behalf of the </w:t>
      </w:r>
      <w:r w:rsidR="009B2592">
        <w:rPr>
          <w:color w:val="2B6B9E"/>
        </w:rPr>
        <w:t>Agent</w:t>
      </w:r>
      <w:r w:rsidRPr="0024422D">
        <w:rPr>
          <w:color w:val="2B6B9E"/>
        </w:rPr>
        <w:t xml:space="preserve">. </w:t>
      </w:r>
    </w:p>
    <w:p w14:paraId="593A6C77" w14:textId="77777777" w:rsidR="00FD20C0" w:rsidRPr="0024422D" w:rsidRDefault="00FD20C0" w:rsidP="00FD20C0">
      <w:pPr>
        <w:pStyle w:val="ListParagraph"/>
        <w:rPr>
          <w:color w:val="2B6B9E"/>
        </w:rPr>
      </w:pPr>
    </w:p>
    <w:p w14:paraId="315FEC32" w14:textId="72BE0F70" w:rsidR="00FD20C0" w:rsidRPr="00293704" w:rsidRDefault="00FD20C0" w:rsidP="00FD20C0">
      <w:pPr>
        <w:pStyle w:val="ListParagraph"/>
        <w:rPr>
          <w:color w:val="2B6B9E"/>
        </w:rPr>
      </w:pPr>
      <w:r w:rsidRPr="00F21707">
        <w:rPr>
          <w:b/>
          <w:bCs/>
          <w:color w:val="2B6B9E"/>
          <w:u w:val="single" w:color="2B6B9E"/>
        </w:rPr>
        <w:t>Step 9:</w:t>
      </w:r>
      <w:r w:rsidRPr="0024422D">
        <w:rPr>
          <w:color w:val="2B6B9E"/>
        </w:rPr>
        <w:t xml:space="preserve"> Performance Assessment &amp; Close out Report</w:t>
      </w:r>
      <w:r w:rsidR="003633ED">
        <w:rPr>
          <w:color w:val="2B6B9E"/>
        </w:rPr>
        <w:t>.</w:t>
      </w:r>
    </w:p>
    <w:p w14:paraId="2D99430B" w14:textId="77777777" w:rsidR="00C71C2C" w:rsidRDefault="00C71C2C" w:rsidP="00FD20C0">
      <w:pPr>
        <w:rPr>
          <w:color w:val="2B6B9E"/>
        </w:rPr>
      </w:pPr>
    </w:p>
    <w:p w14:paraId="47F50145" w14:textId="68B973B8" w:rsidR="00FD20C0" w:rsidRPr="00851E31" w:rsidRDefault="00FD20C0" w:rsidP="00FD20C0">
      <w:pPr>
        <w:rPr>
          <w:color w:val="2B6B9E"/>
        </w:rPr>
      </w:pPr>
      <w:r w:rsidRPr="00851E31">
        <w:rPr>
          <w:color w:val="2B6B9E"/>
        </w:rPr>
        <w:t xml:space="preserve">Authorized &amp; Approved By: </w:t>
      </w:r>
    </w:p>
    <w:p w14:paraId="1D3E9C5E" w14:textId="77777777" w:rsidR="00FD20C0" w:rsidRDefault="00FD20C0" w:rsidP="00FD20C0">
      <w:pPr>
        <w:rPr>
          <w:color w:val="2B6B9E"/>
        </w:rPr>
      </w:pPr>
      <w:r w:rsidRPr="004763FF">
        <w:rPr>
          <w:color w:val="2B6B9E"/>
        </w:rPr>
        <w:t xml:space="preserve">[Company </w:t>
      </w:r>
      <w:r w:rsidRPr="009129D7">
        <w:rPr>
          <w:color w:val="2B6B9E"/>
        </w:rPr>
        <w:t>Representative</w:t>
      </w:r>
      <w:r w:rsidRPr="004763FF">
        <w:rPr>
          <w:color w:val="2B6B9E"/>
        </w:rPr>
        <w:t xml:space="preserve"> Name]</w:t>
      </w:r>
      <w:r>
        <w:rPr>
          <w:color w:val="2B6B9E"/>
        </w:rPr>
        <w:tab/>
      </w:r>
      <w:r>
        <w:rPr>
          <w:color w:val="2B6B9E"/>
        </w:rPr>
        <w:tab/>
      </w:r>
      <w:r>
        <w:rPr>
          <w:color w:val="2B6B9E"/>
        </w:rPr>
        <w:tab/>
      </w:r>
      <w:r>
        <w:rPr>
          <w:color w:val="2B6B9E"/>
        </w:rPr>
        <w:tab/>
      </w:r>
      <w:r>
        <w:rPr>
          <w:color w:val="2B6B9E"/>
        </w:rPr>
        <w:tab/>
      </w:r>
    </w:p>
    <w:p w14:paraId="060195FF" w14:textId="77777777" w:rsidR="00FD20C0" w:rsidRPr="004763FF" w:rsidRDefault="00FD20C0" w:rsidP="00FD20C0">
      <w:pPr>
        <w:rPr>
          <w:color w:val="2B6B9E"/>
        </w:rPr>
      </w:pPr>
      <w:r w:rsidRPr="004763FF">
        <w:rPr>
          <w:color w:val="2B6B9E"/>
        </w:rPr>
        <w:t>[Designation]</w:t>
      </w:r>
      <w:r>
        <w:rPr>
          <w:color w:val="2B6B9E"/>
        </w:rPr>
        <w:tab/>
      </w:r>
      <w:r>
        <w:rPr>
          <w:color w:val="2B6B9E"/>
        </w:rPr>
        <w:tab/>
      </w:r>
      <w:r>
        <w:rPr>
          <w:color w:val="2B6B9E"/>
        </w:rPr>
        <w:tab/>
      </w:r>
      <w:r>
        <w:rPr>
          <w:color w:val="2B6B9E"/>
        </w:rPr>
        <w:tab/>
      </w:r>
      <w:r>
        <w:rPr>
          <w:color w:val="2B6B9E"/>
        </w:rPr>
        <w:tab/>
      </w:r>
      <w:r>
        <w:rPr>
          <w:color w:val="2B6B9E"/>
        </w:rPr>
        <w:tab/>
      </w:r>
      <w:r>
        <w:rPr>
          <w:color w:val="2B6B9E"/>
        </w:rPr>
        <w:tab/>
      </w:r>
      <w:r>
        <w:rPr>
          <w:color w:val="2B6B9E"/>
        </w:rPr>
        <w:tab/>
      </w:r>
    </w:p>
    <w:p w14:paraId="0F6E6396" w14:textId="77777777" w:rsidR="00C71C2C" w:rsidRDefault="00C71C2C" w:rsidP="00FD20C0">
      <w:pPr>
        <w:rPr>
          <w:color w:val="2B6B9E"/>
        </w:rPr>
      </w:pPr>
    </w:p>
    <w:p w14:paraId="05E414EF" w14:textId="073A1FDE" w:rsidR="00FD20C0" w:rsidRDefault="00C71C2C" w:rsidP="00FD20C0">
      <w:pPr>
        <w:rPr>
          <w:color w:val="2B6B9E"/>
        </w:rPr>
      </w:pPr>
      <w:r>
        <w:rPr>
          <w:noProof/>
          <w:color w:val="2B6B9E"/>
        </w:rPr>
        <mc:AlternateContent>
          <mc:Choice Requires="wps">
            <w:drawing>
              <wp:anchor distT="0" distB="0" distL="114300" distR="114300" simplePos="0" relativeHeight="251658240" behindDoc="0" locked="0" layoutInCell="1" allowOverlap="1" wp14:anchorId="5BE52FBC" wp14:editId="53F6B4D4">
                <wp:simplePos x="0" y="0"/>
                <wp:positionH relativeFrom="column">
                  <wp:posOffset>580390</wp:posOffset>
                </wp:positionH>
                <wp:positionV relativeFrom="paragraph">
                  <wp:posOffset>123825</wp:posOffset>
                </wp:positionV>
                <wp:extent cx="12858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w:pict>
              <v:line id="Straight Connector 1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7pt,9.75pt" to="146.95pt,9.75pt" w14:anchorId="412DF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">
                <v:stroke joinstyle="miter"/>
              </v:line>
            </w:pict>
          </mc:Fallback>
        </mc:AlternateContent>
      </w:r>
      <w:r w:rsidR="00FD20C0" w:rsidRPr="004763FF">
        <w:rPr>
          <w:color w:val="2B6B9E"/>
        </w:rPr>
        <w:t>Signature</w:t>
      </w:r>
      <w:r w:rsidR="00FD20C0">
        <w:rPr>
          <w:noProof/>
          <w:color w:val="2B6B9E"/>
        </w:rPr>
        <w:t xml:space="preserve"> </w:t>
      </w:r>
      <w:r w:rsidR="00FD20C0">
        <w:rPr>
          <w:color w:val="2B6B9E"/>
        </w:rPr>
        <w:tab/>
      </w:r>
      <w:r w:rsidR="00FD20C0">
        <w:rPr>
          <w:color w:val="2B6B9E"/>
        </w:rPr>
        <w:tab/>
      </w:r>
      <w:r w:rsidR="00FD20C0">
        <w:rPr>
          <w:color w:val="2B6B9E"/>
        </w:rPr>
        <w:tab/>
      </w:r>
    </w:p>
    <w:p w14:paraId="1A03B845" w14:textId="77777777" w:rsidR="00FD20C0" w:rsidRDefault="00FD20C0" w:rsidP="00FD20C0">
      <w:pPr>
        <w:rPr>
          <w:color w:val="2B6B9E"/>
        </w:rPr>
      </w:pPr>
    </w:p>
    <w:p w14:paraId="1BC0DF53" w14:textId="77777777" w:rsidR="00FD20C0" w:rsidRDefault="00FD20C0" w:rsidP="00FD20C0">
      <w:pPr>
        <w:rPr>
          <w:color w:val="2B6B9E"/>
        </w:rPr>
      </w:pPr>
    </w:p>
    <w:p w14:paraId="514425BA" w14:textId="77777777" w:rsidR="00FD20C0" w:rsidRDefault="00FD20C0" w:rsidP="00FD20C0">
      <w:pPr>
        <w:rPr>
          <w:color w:val="2B6B9E"/>
        </w:rPr>
      </w:pPr>
    </w:p>
    <w:p w14:paraId="3E6841B6" w14:textId="77777777" w:rsidR="00FD20C0" w:rsidRPr="00851E31" w:rsidRDefault="00FD20C0" w:rsidP="00FD20C0">
      <w:pPr>
        <w:rPr>
          <w:color w:val="2B6B9E"/>
        </w:rPr>
      </w:pPr>
    </w:p>
    <w:p w14:paraId="11CEEECE" w14:textId="40ADC799" w:rsidR="00AA32E9" w:rsidRDefault="00AA32E9" w:rsidP="00EF181D"/>
    <w:sectPr w:rsidR="00AA32E9" w:rsidSect="00FD20C0">
      <w:headerReference w:type="default" r:id="rId10"/>
      <w:pgSz w:w="11906" w:h="16838"/>
      <w:pgMar w:top="26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ABE6" w14:textId="77777777" w:rsidR="00416904" w:rsidRDefault="00416904" w:rsidP="007A5843">
      <w:pPr>
        <w:spacing w:after="0" w:line="240" w:lineRule="auto"/>
      </w:pPr>
      <w:r>
        <w:separator/>
      </w:r>
    </w:p>
  </w:endnote>
  <w:endnote w:type="continuationSeparator" w:id="0">
    <w:p w14:paraId="5DD43781" w14:textId="77777777" w:rsidR="00416904" w:rsidRDefault="00416904" w:rsidP="007A5843">
      <w:pPr>
        <w:spacing w:after="0" w:line="240" w:lineRule="auto"/>
      </w:pPr>
      <w:r>
        <w:continuationSeparator/>
      </w:r>
    </w:p>
  </w:endnote>
  <w:endnote w:type="continuationNotice" w:id="1">
    <w:p w14:paraId="1D3FF791" w14:textId="77777777" w:rsidR="00416904" w:rsidRDefault="0041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EAAC" w14:textId="77777777" w:rsidR="00416904" w:rsidRDefault="00416904" w:rsidP="007A5843">
      <w:pPr>
        <w:spacing w:after="0" w:line="240" w:lineRule="auto"/>
      </w:pPr>
      <w:r>
        <w:separator/>
      </w:r>
    </w:p>
  </w:footnote>
  <w:footnote w:type="continuationSeparator" w:id="0">
    <w:p w14:paraId="04FCB722" w14:textId="77777777" w:rsidR="00416904" w:rsidRDefault="00416904" w:rsidP="007A5843">
      <w:pPr>
        <w:spacing w:after="0" w:line="240" w:lineRule="auto"/>
      </w:pPr>
      <w:r>
        <w:continuationSeparator/>
      </w:r>
    </w:p>
  </w:footnote>
  <w:footnote w:type="continuationNotice" w:id="1">
    <w:p w14:paraId="1A4F1012" w14:textId="77777777" w:rsidR="00416904" w:rsidRDefault="0041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AA5CD0" w14:paraId="7442036A" w14:textId="77777777" w:rsidTr="00ED0F17">
      <w:trPr>
        <w:trHeight w:val="983"/>
      </w:trPr>
      <w:tc>
        <w:tcPr>
          <w:tcW w:w="2410" w:type="dxa"/>
          <w:vAlign w:val="center"/>
        </w:tcPr>
        <w:p w14:paraId="628A71F1" w14:textId="431EF68C" w:rsidR="00AA5CD0" w:rsidRDefault="00405CCD" w:rsidP="00761B97">
          <w:pPr>
            <w:pStyle w:val="Header"/>
            <w:jc w:val="center"/>
          </w:pPr>
          <w:r>
            <w:rPr>
              <w:noProof/>
            </w:rPr>
            <w:drawing>
              <wp:inline distT="0" distB="0" distL="0" distR="0" wp14:anchorId="26B7E387" wp14:editId="77A08463">
                <wp:extent cx="1174286" cy="391736"/>
                <wp:effectExtent l="0" t="0" r="0" b="8890"/>
                <wp:docPr id="12" name="Picture 12"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67548CBA" w:rsidR="007A5843" w:rsidRPr="0015687C" w:rsidRDefault="00FD20C0" w:rsidP="002D72D4">
    <w:pPr>
      <w:pStyle w:val="Header"/>
      <w:jc w:val="right"/>
    </w:pPr>
    <w:r>
      <w:rPr>
        <w:noProof/>
      </w:rPr>
      <mc:AlternateContent>
        <mc:Choice Requires="wps">
          <w:drawing>
            <wp:anchor distT="0" distB="0" distL="114300" distR="114300" simplePos="0" relativeHeight="251658240" behindDoc="0" locked="0" layoutInCell="1" allowOverlap="1" wp14:anchorId="31A7BBC6" wp14:editId="72CBA3EE">
              <wp:simplePos x="0" y="0"/>
              <wp:positionH relativeFrom="column">
                <wp:posOffset>-307340</wp:posOffset>
              </wp:positionH>
              <wp:positionV relativeFrom="paragraph">
                <wp:posOffset>266378</wp:posOffset>
              </wp:positionV>
              <wp:extent cx="6365240" cy="8848422"/>
              <wp:effectExtent l="19050" t="19050" r="16510" b="10160"/>
              <wp:wrapNone/>
              <wp:docPr id="1" name="Rectangle 1"/>
              <wp:cNvGraphicFramePr/>
              <a:graphic xmlns:a="http://schemas.openxmlformats.org/drawingml/2006/main">
                <a:graphicData uri="http://schemas.microsoft.com/office/word/2010/wordprocessingShape">
                  <wps:wsp>
                    <wps:cNvSpPr/>
                    <wps:spPr>
                      <a:xfrm>
                        <a:off x="0" y="0"/>
                        <a:ext cx="6365240" cy="884842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xmlns:a16="http://schemas.microsoft.com/office/drawing/2014/main" xmlns:pic="http://schemas.openxmlformats.org/drawingml/2006/picture" xmlns:a14="http://schemas.microsoft.com/office/drawing/2010/main">
          <w:pict>
            <v:rect id="Rectangle 1" style="position:absolute;margin-left:-24.2pt;margin-top:20.95pt;width:501.2pt;height:6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3pt" w14:anchorId="7356A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EC89"/>
    <w:multiLevelType w:val="hybridMultilevel"/>
    <w:tmpl w:val="26362FCA"/>
    <w:lvl w:ilvl="0" w:tplc="E40A1822">
      <w:start w:val="1"/>
      <w:numFmt w:val="bullet"/>
      <w:lvlText w:val=""/>
      <w:lvlJc w:val="left"/>
      <w:pPr>
        <w:ind w:left="720" w:hanging="360"/>
      </w:pPr>
      <w:rPr>
        <w:rFonts w:ascii="Symbol" w:hAnsi="Symbol" w:hint="default"/>
      </w:rPr>
    </w:lvl>
    <w:lvl w:ilvl="1" w:tplc="4C408262">
      <w:start w:val="1"/>
      <w:numFmt w:val="bullet"/>
      <w:lvlText w:val="o"/>
      <w:lvlJc w:val="left"/>
      <w:pPr>
        <w:ind w:left="1440" w:hanging="360"/>
      </w:pPr>
      <w:rPr>
        <w:rFonts w:ascii="Courier New" w:hAnsi="Courier New" w:hint="default"/>
      </w:rPr>
    </w:lvl>
    <w:lvl w:ilvl="2" w:tplc="935A6A22">
      <w:start w:val="1"/>
      <w:numFmt w:val="bullet"/>
      <w:lvlText w:val=""/>
      <w:lvlJc w:val="left"/>
      <w:pPr>
        <w:ind w:left="2160" w:hanging="360"/>
      </w:pPr>
      <w:rPr>
        <w:rFonts w:ascii="Wingdings" w:hAnsi="Wingdings" w:hint="default"/>
      </w:rPr>
    </w:lvl>
    <w:lvl w:ilvl="3" w:tplc="2870DB12">
      <w:start w:val="1"/>
      <w:numFmt w:val="bullet"/>
      <w:lvlText w:val=""/>
      <w:lvlJc w:val="left"/>
      <w:pPr>
        <w:ind w:left="2880" w:hanging="360"/>
      </w:pPr>
      <w:rPr>
        <w:rFonts w:ascii="Symbol" w:hAnsi="Symbol" w:hint="default"/>
      </w:rPr>
    </w:lvl>
    <w:lvl w:ilvl="4" w:tplc="EF2048C2">
      <w:start w:val="1"/>
      <w:numFmt w:val="bullet"/>
      <w:lvlText w:val="o"/>
      <w:lvlJc w:val="left"/>
      <w:pPr>
        <w:ind w:left="3600" w:hanging="360"/>
      </w:pPr>
      <w:rPr>
        <w:rFonts w:ascii="Courier New" w:hAnsi="Courier New" w:hint="default"/>
      </w:rPr>
    </w:lvl>
    <w:lvl w:ilvl="5" w:tplc="8DC65290">
      <w:start w:val="1"/>
      <w:numFmt w:val="bullet"/>
      <w:lvlText w:val=""/>
      <w:lvlJc w:val="left"/>
      <w:pPr>
        <w:ind w:left="4320" w:hanging="360"/>
      </w:pPr>
      <w:rPr>
        <w:rFonts w:ascii="Wingdings" w:hAnsi="Wingdings" w:hint="default"/>
      </w:rPr>
    </w:lvl>
    <w:lvl w:ilvl="6" w:tplc="E66C7AFC">
      <w:start w:val="1"/>
      <w:numFmt w:val="bullet"/>
      <w:lvlText w:val=""/>
      <w:lvlJc w:val="left"/>
      <w:pPr>
        <w:ind w:left="5040" w:hanging="360"/>
      </w:pPr>
      <w:rPr>
        <w:rFonts w:ascii="Symbol" w:hAnsi="Symbol" w:hint="default"/>
      </w:rPr>
    </w:lvl>
    <w:lvl w:ilvl="7" w:tplc="AE7E9F0C">
      <w:start w:val="1"/>
      <w:numFmt w:val="bullet"/>
      <w:lvlText w:val="o"/>
      <w:lvlJc w:val="left"/>
      <w:pPr>
        <w:ind w:left="5760" w:hanging="360"/>
      </w:pPr>
      <w:rPr>
        <w:rFonts w:ascii="Courier New" w:hAnsi="Courier New" w:hint="default"/>
      </w:rPr>
    </w:lvl>
    <w:lvl w:ilvl="8" w:tplc="3814B8F2">
      <w:start w:val="1"/>
      <w:numFmt w:val="bullet"/>
      <w:lvlText w:val=""/>
      <w:lvlJc w:val="left"/>
      <w:pPr>
        <w:ind w:left="6480" w:hanging="360"/>
      </w:pPr>
      <w:rPr>
        <w:rFonts w:ascii="Wingdings" w:hAnsi="Wingdings" w:hint="default"/>
      </w:rPr>
    </w:lvl>
  </w:abstractNum>
  <w:abstractNum w:abstractNumId="1" w15:restartNumberingAfterBreak="0">
    <w:nsid w:val="632D1227"/>
    <w:multiLevelType w:val="hybridMultilevel"/>
    <w:tmpl w:val="A53C9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572593">
    <w:abstractNumId w:val="0"/>
  </w:num>
  <w:num w:numId="2" w16cid:durableId="1215582783">
    <w:abstractNumId w:val="2"/>
  </w:num>
  <w:num w:numId="3" w16cid:durableId="193370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40969"/>
    <w:rsid w:val="000631D0"/>
    <w:rsid w:val="000827E5"/>
    <w:rsid w:val="000B10B9"/>
    <w:rsid w:val="000C0FA3"/>
    <w:rsid w:val="000C5997"/>
    <w:rsid w:val="001032A8"/>
    <w:rsid w:val="00146484"/>
    <w:rsid w:val="00150B9B"/>
    <w:rsid w:val="001521F2"/>
    <w:rsid w:val="00154BD2"/>
    <w:rsid w:val="0015687C"/>
    <w:rsid w:val="001660E8"/>
    <w:rsid w:val="001D71AA"/>
    <w:rsid w:val="001F0309"/>
    <w:rsid w:val="00212C5D"/>
    <w:rsid w:val="0021304F"/>
    <w:rsid w:val="002414C4"/>
    <w:rsid w:val="0024422A"/>
    <w:rsid w:val="0024422D"/>
    <w:rsid w:val="002516C8"/>
    <w:rsid w:val="00257AA4"/>
    <w:rsid w:val="00287C06"/>
    <w:rsid w:val="00293704"/>
    <w:rsid w:val="002B071F"/>
    <w:rsid w:val="002B1512"/>
    <w:rsid w:val="002B7252"/>
    <w:rsid w:val="002C1F98"/>
    <w:rsid w:val="002D72D4"/>
    <w:rsid w:val="002F5805"/>
    <w:rsid w:val="00306350"/>
    <w:rsid w:val="003351A6"/>
    <w:rsid w:val="003402BD"/>
    <w:rsid w:val="003546FA"/>
    <w:rsid w:val="003633ED"/>
    <w:rsid w:val="003C2113"/>
    <w:rsid w:val="003C4E0D"/>
    <w:rsid w:val="003D15E9"/>
    <w:rsid w:val="003E2CD9"/>
    <w:rsid w:val="004026F1"/>
    <w:rsid w:val="00403A04"/>
    <w:rsid w:val="00405CCD"/>
    <w:rsid w:val="00407EC8"/>
    <w:rsid w:val="00416904"/>
    <w:rsid w:val="0042610B"/>
    <w:rsid w:val="00430D44"/>
    <w:rsid w:val="00454EEB"/>
    <w:rsid w:val="00462E76"/>
    <w:rsid w:val="00463EE4"/>
    <w:rsid w:val="004763FF"/>
    <w:rsid w:val="004F1868"/>
    <w:rsid w:val="0054629A"/>
    <w:rsid w:val="00563B0A"/>
    <w:rsid w:val="00571936"/>
    <w:rsid w:val="0057239C"/>
    <w:rsid w:val="005C5CB9"/>
    <w:rsid w:val="005E2AA7"/>
    <w:rsid w:val="00601201"/>
    <w:rsid w:val="006132DD"/>
    <w:rsid w:val="00615EAB"/>
    <w:rsid w:val="0064209E"/>
    <w:rsid w:val="006466DF"/>
    <w:rsid w:val="0066391D"/>
    <w:rsid w:val="006717E9"/>
    <w:rsid w:val="00697CB2"/>
    <w:rsid w:val="006D172C"/>
    <w:rsid w:val="007062EF"/>
    <w:rsid w:val="0072466A"/>
    <w:rsid w:val="00760680"/>
    <w:rsid w:val="00761B97"/>
    <w:rsid w:val="0078060C"/>
    <w:rsid w:val="00783809"/>
    <w:rsid w:val="00794C81"/>
    <w:rsid w:val="007A5843"/>
    <w:rsid w:val="007B1DA5"/>
    <w:rsid w:val="007B41B3"/>
    <w:rsid w:val="007D2F13"/>
    <w:rsid w:val="007E101A"/>
    <w:rsid w:val="00803698"/>
    <w:rsid w:val="00826635"/>
    <w:rsid w:val="0083699A"/>
    <w:rsid w:val="00851E31"/>
    <w:rsid w:val="00860A2B"/>
    <w:rsid w:val="0086177A"/>
    <w:rsid w:val="009129D7"/>
    <w:rsid w:val="00917204"/>
    <w:rsid w:val="00935214"/>
    <w:rsid w:val="009360BD"/>
    <w:rsid w:val="009814D4"/>
    <w:rsid w:val="009B2592"/>
    <w:rsid w:val="009E6276"/>
    <w:rsid w:val="00A043A5"/>
    <w:rsid w:val="00A3738F"/>
    <w:rsid w:val="00A47A6F"/>
    <w:rsid w:val="00A65203"/>
    <w:rsid w:val="00A70ED0"/>
    <w:rsid w:val="00AA03FC"/>
    <w:rsid w:val="00AA32E9"/>
    <w:rsid w:val="00AA5CD0"/>
    <w:rsid w:val="00AB274F"/>
    <w:rsid w:val="00AB628F"/>
    <w:rsid w:val="00AC02E0"/>
    <w:rsid w:val="00AD01DA"/>
    <w:rsid w:val="00AD2E19"/>
    <w:rsid w:val="00AE6398"/>
    <w:rsid w:val="00AF3A34"/>
    <w:rsid w:val="00B042E7"/>
    <w:rsid w:val="00B23BB6"/>
    <w:rsid w:val="00B279AD"/>
    <w:rsid w:val="00B41EFB"/>
    <w:rsid w:val="00B73F07"/>
    <w:rsid w:val="00B828A2"/>
    <w:rsid w:val="00BA17F5"/>
    <w:rsid w:val="00BB046D"/>
    <w:rsid w:val="00C03A1F"/>
    <w:rsid w:val="00C11B81"/>
    <w:rsid w:val="00C171A9"/>
    <w:rsid w:val="00C24327"/>
    <w:rsid w:val="00C246E2"/>
    <w:rsid w:val="00C471ED"/>
    <w:rsid w:val="00C60E74"/>
    <w:rsid w:val="00C71C2C"/>
    <w:rsid w:val="00CA4F22"/>
    <w:rsid w:val="00CB11B1"/>
    <w:rsid w:val="00CF5B6B"/>
    <w:rsid w:val="00D11B53"/>
    <w:rsid w:val="00D2778C"/>
    <w:rsid w:val="00D27E36"/>
    <w:rsid w:val="00D42391"/>
    <w:rsid w:val="00D43374"/>
    <w:rsid w:val="00D91ACD"/>
    <w:rsid w:val="00DA21CB"/>
    <w:rsid w:val="00DD2933"/>
    <w:rsid w:val="00DD7BB8"/>
    <w:rsid w:val="00E03C8B"/>
    <w:rsid w:val="00E13DA6"/>
    <w:rsid w:val="00E13F91"/>
    <w:rsid w:val="00E242D6"/>
    <w:rsid w:val="00E25418"/>
    <w:rsid w:val="00E31288"/>
    <w:rsid w:val="00E43F57"/>
    <w:rsid w:val="00E97622"/>
    <w:rsid w:val="00EC0B5E"/>
    <w:rsid w:val="00EC2678"/>
    <w:rsid w:val="00ED0F17"/>
    <w:rsid w:val="00EF181D"/>
    <w:rsid w:val="00EF2FF3"/>
    <w:rsid w:val="00F21707"/>
    <w:rsid w:val="00F2175D"/>
    <w:rsid w:val="00F532A7"/>
    <w:rsid w:val="00F56E9C"/>
    <w:rsid w:val="00F8406D"/>
    <w:rsid w:val="00F905E7"/>
    <w:rsid w:val="00F95315"/>
    <w:rsid w:val="00FC021B"/>
    <w:rsid w:val="00FD20C0"/>
    <w:rsid w:val="00FE7DA9"/>
    <w:rsid w:val="0F0317C1"/>
    <w:rsid w:val="138E1E37"/>
    <w:rsid w:val="1BFC5797"/>
    <w:rsid w:val="68B7FFCF"/>
    <w:rsid w:val="6EF521A1"/>
    <w:rsid w:val="74A4A81E"/>
    <w:rsid w:val="7CA9DB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E7412BF5-F322-4F38-9D6F-8E24E8E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AA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467">
      <w:bodyDiv w:val="1"/>
      <w:marLeft w:val="0"/>
      <w:marRight w:val="0"/>
      <w:marTop w:val="0"/>
      <w:marBottom w:val="0"/>
      <w:divBdr>
        <w:top w:val="none" w:sz="0" w:space="0" w:color="auto"/>
        <w:left w:val="none" w:sz="0" w:space="0" w:color="auto"/>
        <w:bottom w:val="none" w:sz="0" w:space="0" w:color="auto"/>
        <w:right w:val="none" w:sz="0" w:space="0" w:color="auto"/>
      </w:divBdr>
    </w:div>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5DE26-019F-4FD3-88BB-F57E94F5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129e-fa4e-4138-8ce1-4f77887304b4"/>
    <ds:schemaRef ds:uri="d3bed1ad-9e96-4656-839b-df4ec03e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7888E-B87C-4E65-9743-6A840996E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01445-191E-4D71-94E9-08FB5DCA7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Nal Nangai Venkatakrishnan</cp:lastModifiedBy>
  <cp:revision>171</cp:revision>
  <dcterms:created xsi:type="dcterms:W3CDTF">2023-07-11T11:34:00Z</dcterms:created>
  <dcterms:modified xsi:type="dcterms:W3CDTF">2023-08-30T08:43:00Z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2023-07-11T11:34:42Z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7218d66b-557a-4741-9c3b-51f1ef1f369a</vt:lpwstr>
  </property>
  <property fmtid="{D5CDD505-2E9C-101B-9397-08002B2CF9AE}" pid="9" name="MSIP_Label_06bdf0c2-2e9c-45cd-9ca6-0dbcac750f17_ContentBits">
    <vt:lpwstr>0</vt:lpwstr>
  </property>
</Properties>
</file>