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8FE" w14:textId="56CAC288" w:rsidR="00FD20C0" w:rsidRDefault="009372A0" w:rsidP="00FD20C0">
      <w:pPr>
        <w:jc w:val="center"/>
        <w:rPr>
          <w:b/>
          <w:bCs/>
          <w:color w:val="2B6B9E"/>
          <w:sz w:val="24"/>
          <w:szCs w:val="24"/>
          <w:u w:val="single"/>
        </w:rPr>
      </w:pPr>
      <w:r>
        <w:rPr>
          <w:b/>
          <w:bCs/>
          <w:color w:val="2B6B9E"/>
          <w:sz w:val="24"/>
          <w:szCs w:val="24"/>
          <w:u w:val="single"/>
        </w:rPr>
        <w:t xml:space="preserve">Recruitment Fees </w:t>
      </w:r>
      <w:r w:rsidR="00337BDC">
        <w:rPr>
          <w:b/>
          <w:bCs/>
          <w:color w:val="2B6B9E"/>
          <w:sz w:val="24"/>
          <w:szCs w:val="24"/>
          <w:u w:val="single"/>
        </w:rPr>
        <w:t>Reimbursement</w:t>
      </w:r>
      <w:r w:rsidR="00FD20C0" w:rsidRPr="138E1E37">
        <w:rPr>
          <w:b/>
          <w:bCs/>
          <w:color w:val="2B6B9E"/>
          <w:sz w:val="24"/>
          <w:szCs w:val="24"/>
          <w:u w:val="single"/>
        </w:rPr>
        <w:t xml:space="preserve"> </w:t>
      </w:r>
      <w:r w:rsidR="00FD20C0">
        <w:rPr>
          <w:b/>
          <w:bCs/>
          <w:color w:val="2B6B9E"/>
          <w:sz w:val="24"/>
          <w:szCs w:val="24"/>
          <w:u w:val="single"/>
        </w:rPr>
        <w:t>Policy</w:t>
      </w:r>
    </w:p>
    <w:p w14:paraId="5449D231" w14:textId="4F0C813C" w:rsidR="00FD20C0" w:rsidRPr="009E6276" w:rsidRDefault="00FD20C0" w:rsidP="00FD20C0">
      <w:pPr>
        <w:rPr>
          <w:color w:val="2B6B9E"/>
        </w:rPr>
      </w:pPr>
      <w:r w:rsidRPr="009E6276">
        <w:rPr>
          <w:color w:val="2B6B9E"/>
        </w:rPr>
        <w:t xml:space="preserve">This forms an integral part of the HR policy of </w:t>
      </w:r>
      <w:r w:rsidRPr="009E6276">
        <w:rPr>
          <w:b/>
          <w:bCs/>
          <w:color w:val="2B6B9E"/>
        </w:rPr>
        <w:t>[Company Name]</w:t>
      </w:r>
      <w:r w:rsidRPr="009E6276">
        <w:rPr>
          <w:color w:val="2B6B9E"/>
        </w:rPr>
        <w:t xml:space="preserve"> and is binding to all companies listed under </w:t>
      </w:r>
      <w:r w:rsidRPr="009E6276">
        <w:rPr>
          <w:b/>
          <w:bCs/>
          <w:color w:val="2B6B9E"/>
        </w:rPr>
        <w:t>[Company Name]</w:t>
      </w:r>
      <w:r w:rsidRPr="009E6276">
        <w:rPr>
          <w:color w:val="2B6B9E"/>
        </w:rPr>
        <w:t xml:space="preserve">. </w:t>
      </w:r>
    </w:p>
    <w:p w14:paraId="2F118B4D" w14:textId="77777777" w:rsidR="00FD20C0" w:rsidRPr="009E6276" w:rsidRDefault="00FD20C0" w:rsidP="00FD20C0">
      <w:pPr>
        <w:rPr>
          <w:color w:val="2B6B9E"/>
        </w:rPr>
      </w:pPr>
      <w:r w:rsidRPr="009E6276">
        <w:rPr>
          <w:color w:val="2B6B9E"/>
        </w:rPr>
        <w:t xml:space="preserve"> </w:t>
      </w:r>
    </w:p>
    <w:p w14:paraId="4F19D938" w14:textId="392AF81B" w:rsidR="00FD20C0" w:rsidRDefault="005322C3" w:rsidP="00FD20C0">
      <w:pPr>
        <w:rPr>
          <w:color w:val="2B6B9E"/>
        </w:rPr>
      </w:pPr>
      <w:r>
        <w:rPr>
          <w:color w:val="2B6B9E"/>
        </w:rPr>
        <w:t>Modification/addition</w:t>
      </w:r>
      <w:r w:rsidR="00FD20C0" w:rsidRPr="009E6276">
        <w:rPr>
          <w:color w:val="2B6B9E"/>
        </w:rPr>
        <w:t xml:space="preserve"> in the </w:t>
      </w:r>
      <w:r w:rsidRPr="005322C3">
        <w:rPr>
          <w:b/>
          <w:bCs/>
          <w:color w:val="2B6B9E"/>
        </w:rPr>
        <w:t>[relevant]</w:t>
      </w:r>
      <w:r w:rsidR="00FD20C0" w:rsidRPr="009E6276">
        <w:rPr>
          <w:color w:val="2B6B9E"/>
        </w:rPr>
        <w:t xml:space="preserve"> policy</w:t>
      </w:r>
      <w:r w:rsidR="00FD20C0" w:rsidRPr="00C11B81">
        <w:rPr>
          <w:color w:val="2B6B9E"/>
        </w:rPr>
        <w:t xml:space="preserve"> </w:t>
      </w:r>
    </w:p>
    <w:p w14:paraId="2DAF27CA" w14:textId="3FD8B188" w:rsidR="00FD20C0" w:rsidRDefault="00FD20C0" w:rsidP="00FD20C0">
      <w:pPr>
        <w:pStyle w:val="ListParagraph"/>
        <w:numPr>
          <w:ilvl w:val="0"/>
          <w:numId w:val="3"/>
        </w:numPr>
        <w:rPr>
          <w:color w:val="2B6B9E"/>
        </w:rPr>
      </w:pPr>
      <w:r w:rsidRPr="00C03A1F">
        <w:rPr>
          <w:color w:val="2B6B9E"/>
        </w:rPr>
        <w:t xml:space="preserve">Effective </w:t>
      </w:r>
      <w:r w:rsidRPr="00AA03FC">
        <w:rPr>
          <w:b/>
          <w:bCs/>
          <w:color w:val="2B6B9E"/>
        </w:rPr>
        <w:t>[Date]</w:t>
      </w:r>
      <w:r>
        <w:rPr>
          <w:b/>
          <w:bCs/>
          <w:color w:val="2B6B9E"/>
        </w:rPr>
        <w:t xml:space="preserve"> </w:t>
      </w:r>
      <w:r w:rsidRPr="00C03A1F">
        <w:rPr>
          <w:color w:val="2B6B9E"/>
        </w:rPr>
        <w:t xml:space="preserve">all companies under the </w:t>
      </w:r>
      <w:r w:rsidRPr="00A65203">
        <w:rPr>
          <w:b/>
          <w:bCs/>
          <w:color w:val="2B6B9E"/>
        </w:rPr>
        <w:t>[Company Name]</w:t>
      </w:r>
      <w:r w:rsidRPr="00C03A1F">
        <w:rPr>
          <w:color w:val="2B6B9E"/>
        </w:rPr>
        <w:t xml:space="preserve"> management shall adopt </w:t>
      </w:r>
      <w:r w:rsidR="00050108">
        <w:rPr>
          <w:color w:val="2B6B9E"/>
        </w:rPr>
        <w:t>this reimbursement</w:t>
      </w:r>
      <w:r w:rsidRPr="00C03A1F">
        <w:rPr>
          <w:color w:val="2B6B9E"/>
        </w:rPr>
        <w:t xml:space="preserve"> policy in line with the relevant rules of the ethical recruitment standards</w:t>
      </w:r>
      <w:r>
        <w:rPr>
          <w:color w:val="2B6B9E"/>
        </w:rPr>
        <w:t>.</w:t>
      </w:r>
    </w:p>
    <w:p w14:paraId="3F07D275" w14:textId="44009771" w:rsidR="00441258" w:rsidRDefault="00880A53" w:rsidP="00FD20C0">
      <w:pPr>
        <w:pStyle w:val="ListParagraph"/>
        <w:numPr>
          <w:ilvl w:val="0"/>
          <w:numId w:val="3"/>
        </w:numPr>
        <w:rPr>
          <w:color w:val="2B6B9E"/>
        </w:rPr>
      </w:pPr>
      <w:r>
        <w:rPr>
          <w:color w:val="2B6B9E"/>
        </w:rPr>
        <w:t>All workers</w:t>
      </w:r>
      <w:r w:rsidR="00A67E0F">
        <w:rPr>
          <w:color w:val="2B6B9E"/>
        </w:rPr>
        <w:t xml:space="preserve"> </w:t>
      </w:r>
      <w:r w:rsidR="000509E3">
        <w:rPr>
          <w:color w:val="2B6B9E"/>
        </w:rPr>
        <w:t>are eligible for reimbursement of recruitment fees payment</w:t>
      </w:r>
      <w:r w:rsidR="00AE755B">
        <w:rPr>
          <w:color w:val="2B6B9E"/>
        </w:rPr>
        <w:t>.</w:t>
      </w:r>
    </w:p>
    <w:p w14:paraId="6AE0067D" w14:textId="283A52B3" w:rsidR="00441258" w:rsidRDefault="00441258" w:rsidP="00441258">
      <w:pPr>
        <w:pStyle w:val="ListParagraph"/>
        <w:numPr>
          <w:ilvl w:val="1"/>
          <w:numId w:val="3"/>
        </w:numPr>
        <w:rPr>
          <w:color w:val="2B6B9E"/>
        </w:rPr>
      </w:pPr>
      <w:r>
        <w:rPr>
          <w:color w:val="2B6B9E"/>
        </w:rPr>
        <w:t>Workers include subcontracted, outsourced, part-time or temporary workers.</w:t>
      </w:r>
    </w:p>
    <w:p w14:paraId="59C6420E" w14:textId="2A21B9C2" w:rsidR="00D01FB6" w:rsidRDefault="005B6743" w:rsidP="00441258">
      <w:pPr>
        <w:pStyle w:val="ListParagraph"/>
        <w:numPr>
          <w:ilvl w:val="1"/>
          <w:numId w:val="3"/>
        </w:numPr>
        <w:rPr>
          <w:color w:val="2B6B9E"/>
        </w:rPr>
      </w:pPr>
      <w:r>
        <w:rPr>
          <w:color w:val="2B6B9E"/>
        </w:rPr>
        <w:t>Full-time workers on disciplinary grounds</w:t>
      </w:r>
      <w:r w:rsidR="006005FC">
        <w:rPr>
          <w:color w:val="2B6B9E"/>
        </w:rPr>
        <w:t xml:space="preserve">, sick leave, </w:t>
      </w:r>
      <w:r w:rsidR="004C28CE">
        <w:rPr>
          <w:color w:val="2B6B9E"/>
        </w:rPr>
        <w:t>serving notice period and others</w:t>
      </w:r>
      <w:r w:rsidR="006005FC">
        <w:rPr>
          <w:color w:val="2B6B9E"/>
        </w:rPr>
        <w:t xml:space="preserve">, retain their </w:t>
      </w:r>
      <w:r w:rsidR="0099181A">
        <w:rPr>
          <w:color w:val="2B6B9E"/>
        </w:rPr>
        <w:t>eligibility.</w:t>
      </w:r>
    </w:p>
    <w:p w14:paraId="1E9FC2F4" w14:textId="77777777" w:rsidR="00FC652F" w:rsidRDefault="00AD3019" w:rsidP="00FD20C0">
      <w:pPr>
        <w:pStyle w:val="ListParagraph"/>
        <w:numPr>
          <w:ilvl w:val="0"/>
          <w:numId w:val="3"/>
        </w:numPr>
        <w:rPr>
          <w:color w:val="2B6B9E"/>
        </w:rPr>
      </w:pPr>
      <w:r>
        <w:rPr>
          <w:color w:val="2B6B9E"/>
        </w:rPr>
        <w:t>All suppliers</w:t>
      </w:r>
      <w:r w:rsidR="00FC652F">
        <w:rPr>
          <w:color w:val="2B6B9E"/>
        </w:rPr>
        <w:t>, including recruitment agents and subcontractors, have contractual obligations to ethical recruitment standards.</w:t>
      </w:r>
    </w:p>
    <w:p w14:paraId="59D54F33" w14:textId="5A0C22CC" w:rsidR="007D4389" w:rsidRDefault="007D4389" w:rsidP="00FC652F">
      <w:pPr>
        <w:pStyle w:val="ListParagraph"/>
        <w:numPr>
          <w:ilvl w:val="1"/>
          <w:numId w:val="3"/>
        </w:numPr>
        <w:rPr>
          <w:color w:val="2B6B9E"/>
        </w:rPr>
      </w:pPr>
      <w:r>
        <w:rPr>
          <w:color w:val="2B6B9E"/>
        </w:rPr>
        <w:t>Each contract with a recruitment agent will include terms on recruitment fee reimbursement.</w:t>
      </w:r>
      <w:r w:rsidR="004B357A">
        <w:rPr>
          <w:color w:val="2B6B9E"/>
        </w:rPr>
        <w:t xml:space="preserve"> </w:t>
      </w:r>
    </w:p>
    <w:p w14:paraId="37E8A53E" w14:textId="39E56FC2" w:rsidR="00FC652F" w:rsidRDefault="00FC652F" w:rsidP="00FC652F">
      <w:pPr>
        <w:pStyle w:val="ListParagraph"/>
        <w:numPr>
          <w:ilvl w:val="1"/>
          <w:numId w:val="3"/>
        </w:numPr>
        <w:rPr>
          <w:color w:val="2B6B9E"/>
        </w:rPr>
      </w:pPr>
      <w:r>
        <w:rPr>
          <w:color w:val="2B6B9E"/>
        </w:rPr>
        <w:t xml:space="preserve">Each contract with a supplier will include terms on recruitment fee </w:t>
      </w:r>
      <w:r w:rsidR="00DB4D35">
        <w:rPr>
          <w:color w:val="2B6B9E"/>
        </w:rPr>
        <w:t>reimbursement.</w:t>
      </w:r>
    </w:p>
    <w:p w14:paraId="0D92C364" w14:textId="2B228420" w:rsidR="00050108" w:rsidRDefault="00321A28" w:rsidP="00FD20C0">
      <w:pPr>
        <w:pStyle w:val="ListParagraph"/>
        <w:numPr>
          <w:ilvl w:val="0"/>
          <w:numId w:val="3"/>
        </w:numPr>
        <w:rPr>
          <w:color w:val="2B6B9E"/>
        </w:rPr>
      </w:pPr>
      <w:r w:rsidRPr="00321A28">
        <w:rPr>
          <w:color w:val="2B6B9E"/>
        </w:rPr>
        <w:t xml:space="preserve">All reimbursements </w:t>
      </w:r>
      <w:r>
        <w:rPr>
          <w:color w:val="2B6B9E"/>
        </w:rPr>
        <w:t>will b</w:t>
      </w:r>
      <w:r w:rsidRPr="00321A28">
        <w:rPr>
          <w:color w:val="2B6B9E"/>
        </w:rPr>
        <w:t xml:space="preserve">e processed by the </w:t>
      </w:r>
      <w:r w:rsidR="007D4389" w:rsidRPr="007D4389">
        <w:rPr>
          <w:b/>
          <w:bCs/>
          <w:color w:val="2B6B9E"/>
        </w:rPr>
        <w:t>[company]</w:t>
      </w:r>
      <w:r w:rsidRPr="00321A28">
        <w:rPr>
          <w:color w:val="2B6B9E"/>
        </w:rPr>
        <w:t xml:space="preserve"> and proof of </w:t>
      </w:r>
      <w:r>
        <w:rPr>
          <w:color w:val="2B6B9E"/>
        </w:rPr>
        <w:t xml:space="preserve">payment </w:t>
      </w:r>
      <w:r w:rsidRPr="00321A28">
        <w:rPr>
          <w:color w:val="2B6B9E"/>
        </w:rPr>
        <w:t xml:space="preserve">submitted to the </w:t>
      </w:r>
      <w:r>
        <w:rPr>
          <w:color w:val="2B6B9E"/>
        </w:rPr>
        <w:t xml:space="preserve">contracted </w:t>
      </w:r>
      <w:r w:rsidR="00DB4D35">
        <w:rPr>
          <w:color w:val="2B6B9E"/>
        </w:rPr>
        <w:t>suppliers (recruitment agencies and subcontractors)</w:t>
      </w:r>
      <w:r w:rsidRPr="00321A28">
        <w:rPr>
          <w:color w:val="2B6B9E"/>
        </w:rPr>
        <w:t>.</w:t>
      </w:r>
    </w:p>
    <w:p w14:paraId="6815F90B" w14:textId="07048515" w:rsidR="00321A28" w:rsidRDefault="00522EA4" w:rsidP="00FD20C0">
      <w:pPr>
        <w:pStyle w:val="ListParagraph"/>
        <w:numPr>
          <w:ilvl w:val="0"/>
          <w:numId w:val="3"/>
        </w:numPr>
        <w:rPr>
          <w:color w:val="2B6B9E"/>
        </w:rPr>
      </w:pPr>
      <w:r>
        <w:rPr>
          <w:color w:val="2B6B9E"/>
        </w:rPr>
        <w:t>Due to the complexity of recruitment of workers, the worker reporting payment of fees is not obliged to provide any p</w:t>
      </w:r>
      <w:r w:rsidR="00DB4D35">
        <w:rPr>
          <w:color w:val="2B6B9E"/>
        </w:rPr>
        <w:t>ro</w:t>
      </w:r>
      <w:r>
        <w:rPr>
          <w:color w:val="2B6B9E"/>
        </w:rPr>
        <w:t xml:space="preserve">of of payment to </w:t>
      </w:r>
      <w:r w:rsidR="005F5C1E">
        <w:rPr>
          <w:color w:val="2B6B9E"/>
        </w:rPr>
        <w:t xml:space="preserve">substantiate their claim. </w:t>
      </w:r>
    </w:p>
    <w:p w14:paraId="4C40FA35" w14:textId="1DF7D052" w:rsidR="005F5C1E" w:rsidRDefault="005F5C1E" w:rsidP="00FD20C0">
      <w:pPr>
        <w:pStyle w:val="ListParagraph"/>
        <w:numPr>
          <w:ilvl w:val="0"/>
          <w:numId w:val="3"/>
        </w:numPr>
        <w:rPr>
          <w:color w:val="2B6B9E"/>
        </w:rPr>
      </w:pPr>
      <w:r>
        <w:rPr>
          <w:color w:val="2B6B9E"/>
        </w:rPr>
        <w:t>Each claim will be investigated</w:t>
      </w:r>
      <w:r w:rsidR="00364F3F">
        <w:rPr>
          <w:color w:val="2B6B9E"/>
        </w:rPr>
        <w:t>.</w:t>
      </w:r>
    </w:p>
    <w:p w14:paraId="1C7F208A" w14:textId="20B3D808" w:rsidR="00FF72B0" w:rsidRDefault="00FF72B0" w:rsidP="00FD20C0">
      <w:pPr>
        <w:pStyle w:val="ListParagraph"/>
        <w:numPr>
          <w:ilvl w:val="0"/>
          <w:numId w:val="3"/>
        </w:numPr>
        <w:rPr>
          <w:color w:val="2B6B9E"/>
        </w:rPr>
      </w:pPr>
      <w:r>
        <w:rPr>
          <w:color w:val="2B6B9E"/>
        </w:rPr>
        <w:t xml:space="preserve">Workers who reported a grievance/claim will be involved throughout the process (investigation, calculation, and </w:t>
      </w:r>
      <w:r w:rsidR="00A60F49">
        <w:rPr>
          <w:color w:val="2B6B9E"/>
        </w:rPr>
        <w:t xml:space="preserve">pay verification). </w:t>
      </w:r>
    </w:p>
    <w:p w14:paraId="1217B694" w14:textId="73CD82E0" w:rsidR="001A48B2" w:rsidRDefault="00B83114" w:rsidP="00FD20C0">
      <w:pPr>
        <w:pStyle w:val="ListParagraph"/>
        <w:numPr>
          <w:ilvl w:val="0"/>
          <w:numId w:val="3"/>
        </w:numPr>
        <w:rPr>
          <w:color w:val="2B6B9E"/>
        </w:rPr>
      </w:pPr>
      <w:r>
        <w:rPr>
          <w:color w:val="2B6B9E"/>
        </w:rPr>
        <w:t xml:space="preserve">The recruiting agent </w:t>
      </w:r>
      <w:r w:rsidR="00DB4D35">
        <w:rPr>
          <w:color w:val="2B6B9E"/>
        </w:rPr>
        <w:t xml:space="preserve">and other supplier </w:t>
      </w:r>
      <w:r>
        <w:rPr>
          <w:color w:val="2B6B9E"/>
        </w:rPr>
        <w:t xml:space="preserve">will reimburse workers </w:t>
      </w:r>
      <w:r w:rsidR="00776300">
        <w:rPr>
          <w:color w:val="2B6B9E"/>
        </w:rPr>
        <w:t>when the out</w:t>
      </w:r>
      <w:r w:rsidR="001A48B2">
        <w:rPr>
          <w:color w:val="2B6B9E"/>
        </w:rPr>
        <w:t xml:space="preserve">come of the </w:t>
      </w:r>
      <w:r w:rsidR="007D4389" w:rsidRPr="009166DC">
        <w:rPr>
          <w:b/>
          <w:color w:val="2B6B9E"/>
        </w:rPr>
        <w:t>[company’s]</w:t>
      </w:r>
      <w:r w:rsidR="001A48B2">
        <w:rPr>
          <w:color w:val="2B6B9E"/>
        </w:rPr>
        <w:t xml:space="preserve"> investigation results in </w:t>
      </w:r>
      <w:r w:rsidR="00776300">
        <w:rPr>
          <w:color w:val="2B6B9E"/>
        </w:rPr>
        <w:t>any of the following</w:t>
      </w:r>
      <w:r w:rsidR="001A48B2">
        <w:rPr>
          <w:color w:val="2B6B9E"/>
        </w:rPr>
        <w:t>:</w:t>
      </w:r>
    </w:p>
    <w:p w14:paraId="28FA4F0E" w14:textId="1ADB2061" w:rsidR="002B202D" w:rsidRPr="002B202D" w:rsidRDefault="000A46F2" w:rsidP="002B202D">
      <w:pPr>
        <w:pStyle w:val="ListParagraph"/>
        <w:numPr>
          <w:ilvl w:val="1"/>
          <w:numId w:val="3"/>
        </w:numPr>
        <w:rPr>
          <w:color w:val="2B6B9E"/>
        </w:rPr>
      </w:pPr>
      <w:r>
        <w:rPr>
          <w:color w:val="2B6B9E"/>
        </w:rPr>
        <w:t xml:space="preserve">The investigation </w:t>
      </w:r>
      <w:r w:rsidR="002B202D" w:rsidRPr="002B202D">
        <w:rPr>
          <w:color w:val="2B6B9E"/>
        </w:rPr>
        <w:t xml:space="preserve">established </w:t>
      </w:r>
      <w:r w:rsidR="007B3848">
        <w:rPr>
          <w:color w:val="2B6B9E"/>
        </w:rPr>
        <w:t xml:space="preserve">that the recruiting agency </w:t>
      </w:r>
      <w:r w:rsidR="00A60299">
        <w:rPr>
          <w:color w:val="2B6B9E"/>
        </w:rPr>
        <w:t xml:space="preserve">or supplier </w:t>
      </w:r>
      <w:r w:rsidR="007B3848">
        <w:rPr>
          <w:color w:val="2B6B9E"/>
        </w:rPr>
        <w:t xml:space="preserve">was </w:t>
      </w:r>
      <w:r w:rsidR="002B202D" w:rsidRPr="002B202D">
        <w:rPr>
          <w:color w:val="2B6B9E"/>
        </w:rPr>
        <w:t>gross</w:t>
      </w:r>
      <w:r w:rsidR="007B3848">
        <w:rPr>
          <w:color w:val="2B6B9E"/>
        </w:rPr>
        <w:t>ly</w:t>
      </w:r>
      <w:r w:rsidR="002B202D" w:rsidRPr="002B202D">
        <w:rPr>
          <w:color w:val="2B6B9E"/>
        </w:rPr>
        <w:t xml:space="preserve"> negligen</w:t>
      </w:r>
      <w:r w:rsidR="007B3848">
        <w:rPr>
          <w:color w:val="2B6B9E"/>
        </w:rPr>
        <w:t>t</w:t>
      </w:r>
      <w:r w:rsidR="002B202D" w:rsidRPr="002B202D">
        <w:rPr>
          <w:color w:val="2B6B9E"/>
        </w:rPr>
        <w:t xml:space="preserve"> </w:t>
      </w:r>
      <w:r w:rsidR="007D4389">
        <w:rPr>
          <w:color w:val="2B6B9E"/>
        </w:rPr>
        <w:t xml:space="preserve">in </w:t>
      </w:r>
      <w:r w:rsidR="002B202D" w:rsidRPr="002B202D">
        <w:rPr>
          <w:color w:val="2B6B9E"/>
        </w:rPr>
        <w:t>implement</w:t>
      </w:r>
      <w:r w:rsidR="003A5AFF">
        <w:rPr>
          <w:color w:val="2B6B9E"/>
        </w:rPr>
        <w:t>ing</w:t>
      </w:r>
      <w:r w:rsidR="002B202D" w:rsidRPr="002B202D">
        <w:rPr>
          <w:color w:val="2B6B9E"/>
        </w:rPr>
        <w:t xml:space="preserve"> a mechanism to </w:t>
      </w:r>
      <w:r w:rsidR="003A5AFF">
        <w:rPr>
          <w:color w:val="2B6B9E"/>
        </w:rPr>
        <w:t xml:space="preserve">protect workers from </w:t>
      </w:r>
      <w:r w:rsidR="002B202D" w:rsidRPr="002B202D">
        <w:rPr>
          <w:color w:val="2B6B9E"/>
        </w:rPr>
        <w:t>recruitment fees</w:t>
      </w:r>
      <w:r w:rsidR="003A5AFF">
        <w:rPr>
          <w:color w:val="2B6B9E"/>
        </w:rPr>
        <w:t xml:space="preserve"> payment.</w:t>
      </w:r>
    </w:p>
    <w:p w14:paraId="246DCC7D" w14:textId="16B2455F" w:rsidR="001A48B2" w:rsidRDefault="00544257" w:rsidP="002B202D">
      <w:pPr>
        <w:pStyle w:val="ListParagraph"/>
        <w:numPr>
          <w:ilvl w:val="1"/>
          <w:numId w:val="3"/>
        </w:numPr>
        <w:rPr>
          <w:color w:val="2B6B9E"/>
        </w:rPr>
      </w:pPr>
      <w:r>
        <w:rPr>
          <w:color w:val="2B6B9E"/>
        </w:rPr>
        <w:t xml:space="preserve">The investigation </w:t>
      </w:r>
      <w:r w:rsidRPr="002B202D">
        <w:rPr>
          <w:color w:val="2B6B9E"/>
        </w:rPr>
        <w:t xml:space="preserve">established </w:t>
      </w:r>
      <w:r>
        <w:rPr>
          <w:color w:val="2B6B9E"/>
        </w:rPr>
        <w:t>that the worker paid r</w:t>
      </w:r>
      <w:r w:rsidR="002B202D" w:rsidRPr="002B202D">
        <w:rPr>
          <w:color w:val="2B6B9E"/>
        </w:rPr>
        <w:t xml:space="preserve">ecruitment fees </w:t>
      </w:r>
      <w:r>
        <w:rPr>
          <w:color w:val="2B6B9E"/>
        </w:rPr>
        <w:t>to</w:t>
      </w:r>
      <w:r w:rsidR="002B202D" w:rsidRPr="002B202D">
        <w:rPr>
          <w:color w:val="2B6B9E"/>
        </w:rPr>
        <w:t xml:space="preserve"> any personnel in the </w:t>
      </w:r>
      <w:r>
        <w:rPr>
          <w:color w:val="2B6B9E"/>
        </w:rPr>
        <w:t>recruiting agency</w:t>
      </w:r>
      <w:r w:rsidR="004D3299">
        <w:rPr>
          <w:color w:val="2B6B9E"/>
        </w:rPr>
        <w:t xml:space="preserve"> or supplier’s</w:t>
      </w:r>
      <w:r>
        <w:rPr>
          <w:color w:val="2B6B9E"/>
        </w:rPr>
        <w:t xml:space="preserve"> </w:t>
      </w:r>
      <w:r w:rsidR="002B202D" w:rsidRPr="002B202D">
        <w:rPr>
          <w:color w:val="2B6B9E"/>
        </w:rPr>
        <w:t>organization or supply chain.</w:t>
      </w:r>
    </w:p>
    <w:p w14:paraId="11AD00D9" w14:textId="3A7ABEA8" w:rsidR="009A5774" w:rsidRDefault="00473ADA" w:rsidP="00FD20C0">
      <w:pPr>
        <w:pStyle w:val="ListParagraph"/>
        <w:numPr>
          <w:ilvl w:val="0"/>
          <w:numId w:val="3"/>
        </w:numPr>
        <w:rPr>
          <w:color w:val="2B6B9E"/>
        </w:rPr>
      </w:pPr>
      <w:r>
        <w:rPr>
          <w:color w:val="2B6B9E"/>
        </w:rPr>
        <w:t xml:space="preserve">Workers who receive reimbursement of recruitment fees paid </w:t>
      </w:r>
      <w:r w:rsidR="00B575B6">
        <w:rPr>
          <w:color w:val="2B6B9E"/>
        </w:rPr>
        <w:t xml:space="preserve">retain their employment </w:t>
      </w:r>
      <w:r w:rsidR="00600C5C">
        <w:rPr>
          <w:color w:val="2B6B9E"/>
        </w:rPr>
        <w:t xml:space="preserve">and legal </w:t>
      </w:r>
      <w:r w:rsidR="00B575B6">
        <w:rPr>
          <w:color w:val="2B6B9E"/>
        </w:rPr>
        <w:t xml:space="preserve">rights, such as </w:t>
      </w:r>
      <w:r w:rsidR="001C38C1">
        <w:rPr>
          <w:color w:val="2B6B9E"/>
        </w:rPr>
        <w:t xml:space="preserve">full </w:t>
      </w:r>
      <w:r w:rsidR="00B575B6">
        <w:rPr>
          <w:color w:val="2B6B9E"/>
        </w:rPr>
        <w:t xml:space="preserve">end of service benefit, </w:t>
      </w:r>
      <w:r w:rsidR="001C38C1">
        <w:rPr>
          <w:color w:val="2B6B9E"/>
        </w:rPr>
        <w:t>repatriation benefit</w:t>
      </w:r>
      <w:r w:rsidR="00600C5C">
        <w:rPr>
          <w:color w:val="2B6B9E"/>
        </w:rPr>
        <w:t xml:space="preserve">, </w:t>
      </w:r>
      <w:r w:rsidR="0099181A">
        <w:rPr>
          <w:color w:val="2B6B9E"/>
        </w:rPr>
        <w:t xml:space="preserve">and access to </w:t>
      </w:r>
      <w:r w:rsidR="00EA5B43">
        <w:rPr>
          <w:color w:val="2B6B9E"/>
        </w:rPr>
        <w:t xml:space="preserve">remediation through local </w:t>
      </w:r>
      <w:proofErr w:type="spellStart"/>
      <w:r w:rsidR="00EA5B43">
        <w:rPr>
          <w:color w:val="2B6B9E"/>
        </w:rPr>
        <w:t>labor</w:t>
      </w:r>
      <w:proofErr w:type="spellEnd"/>
      <w:r w:rsidR="00EA5B43">
        <w:rPr>
          <w:color w:val="2B6B9E"/>
        </w:rPr>
        <w:t xml:space="preserve"> authorit</w:t>
      </w:r>
      <w:r w:rsidR="0061207E">
        <w:rPr>
          <w:color w:val="2B6B9E"/>
        </w:rPr>
        <w:t>ies</w:t>
      </w:r>
      <w:r w:rsidR="00EA5B43">
        <w:rPr>
          <w:color w:val="2B6B9E"/>
        </w:rPr>
        <w:t xml:space="preserve">. </w:t>
      </w:r>
    </w:p>
    <w:p w14:paraId="6973E688" w14:textId="19D24DD1" w:rsidR="00086E3F" w:rsidRDefault="00DA5304" w:rsidP="00FD20C0">
      <w:pPr>
        <w:pStyle w:val="ListParagraph"/>
        <w:numPr>
          <w:ilvl w:val="0"/>
          <w:numId w:val="3"/>
        </w:numPr>
        <w:rPr>
          <w:color w:val="2B6B9E"/>
        </w:rPr>
      </w:pPr>
      <w:r>
        <w:rPr>
          <w:color w:val="2B6B9E"/>
        </w:rPr>
        <w:t>The calculation for the reimbursement amount shall consider the following:</w:t>
      </w:r>
    </w:p>
    <w:p w14:paraId="50B81D4F" w14:textId="63CDF97A" w:rsidR="00DB6408" w:rsidRPr="00DB6408" w:rsidRDefault="003F0920" w:rsidP="00DB6408">
      <w:pPr>
        <w:pStyle w:val="ListParagraph"/>
        <w:numPr>
          <w:ilvl w:val="1"/>
          <w:numId w:val="3"/>
        </w:numPr>
        <w:rPr>
          <w:color w:val="2B6B9E"/>
        </w:rPr>
      </w:pPr>
      <w:r>
        <w:rPr>
          <w:color w:val="2B6B9E"/>
        </w:rPr>
        <w:t xml:space="preserve">Actual amount (based on worker’s claim and </w:t>
      </w:r>
      <w:r w:rsidR="00DB6408">
        <w:rPr>
          <w:color w:val="2B6B9E"/>
        </w:rPr>
        <w:t>investigation outcome).</w:t>
      </w:r>
    </w:p>
    <w:p w14:paraId="3613A06B" w14:textId="1569FC2A" w:rsidR="003F0920" w:rsidRDefault="008C6179" w:rsidP="008C6179">
      <w:pPr>
        <w:pStyle w:val="ListParagraph"/>
        <w:numPr>
          <w:ilvl w:val="2"/>
          <w:numId w:val="3"/>
        </w:numPr>
        <w:rPr>
          <w:color w:val="2B6B9E"/>
        </w:rPr>
      </w:pPr>
      <w:r>
        <w:rPr>
          <w:color w:val="2B6B9E"/>
        </w:rPr>
        <w:t xml:space="preserve">If the exact amount is not available, </w:t>
      </w:r>
      <w:r w:rsidR="0021743E">
        <w:rPr>
          <w:color w:val="2B6B9E"/>
        </w:rPr>
        <w:t xml:space="preserve">refer to the </w:t>
      </w:r>
      <w:r w:rsidR="00A534BD">
        <w:rPr>
          <w:color w:val="2B6B9E"/>
        </w:rPr>
        <w:t>t</w:t>
      </w:r>
      <w:r w:rsidR="0021743E">
        <w:rPr>
          <w:color w:val="2B6B9E"/>
        </w:rPr>
        <w:t xml:space="preserve">able of recruitment fees by country (below). </w:t>
      </w:r>
    </w:p>
    <w:p w14:paraId="19DE7D82" w14:textId="0AFBCAB6" w:rsidR="008C6179" w:rsidRDefault="00DC2F2D" w:rsidP="00DA5304">
      <w:pPr>
        <w:pStyle w:val="ListParagraph"/>
        <w:numPr>
          <w:ilvl w:val="1"/>
          <w:numId w:val="3"/>
        </w:numPr>
        <w:rPr>
          <w:color w:val="2B6B9E"/>
        </w:rPr>
      </w:pPr>
      <w:r>
        <w:rPr>
          <w:color w:val="2B6B9E"/>
        </w:rPr>
        <w:t>E</w:t>
      </w:r>
      <w:r w:rsidR="007900B9">
        <w:rPr>
          <w:color w:val="2B6B9E"/>
        </w:rPr>
        <w:t xml:space="preserve">xchange rate </w:t>
      </w:r>
      <w:r w:rsidR="00485E98">
        <w:rPr>
          <w:color w:val="2B6B9E"/>
        </w:rPr>
        <w:t>at the time of recruitment fee payment</w:t>
      </w:r>
      <w:r>
        <w:rPr>
          <w:color w:val="2B6B9E"/>
        </w:rPr>
        <w:t xml:space="preserve"> and reimbursement</w:t>
      </w:r>
      <w:r w:rsidR="00485E98">
        <w:rPr>
          <w:color w:val="2B6B9E"/>
        </w:rPr>
        <w:t>.</w:t>
      </w:r>
    </w:p>
    <w:p w14:paraId="67346A82" w14:textId="7EEB26B5" w:rsidR="00485E98" w:rsidRDefault="00331244" w:rsidP="00DA5304">
      <w:pPr>
        <w:pStyle w:val="ListParagraph"/>
        <w:numPr>
          <w:ilvl w:val="1"/>
          <w:numId w:val="3"/>
        </w:numPr>
        <w:rPr>
          <w:color w:val="2B6B9E"/>
        </w:rPr>
      </w:pPr>
      <w:r>
        <w:rPr>
          <w:color w:val="2B6B9E"/>
        </w:rPr>
        <w:t xml:space="preserve">Compound inflation </w:t>
      </w:r>
      <w:r w:rsidR="00FB2F27">
        <w:rPr>
          <w:color w:val="2B6B9E"/>
        </w:rPr>
        <w:t xml:space="preserve">(interest) </w:t>
      </w:r>
      <w:r>
        <w:rPr>
          <w:color w:val="2B6B9E"/>
        </w:rPr>
        <w:t>since the time of recruitment fee payment so that the value of the reimbursement amount is the same</w:t>
      </w:r>
      <w:r w:rsidR="00FB2F27">
        <w:rPr>
          <w:color w:val="2B6B9E"/>
        </w:rPr>
        <w:t xml:space="preserve">. </w:t>
      </w:r>
    </w:p>
    <w:p w14:paraId="7D7A4D67" w14:textId="3CE85FE6" w:rsidR="00FB2F27" w:rsidRDefault="001E2F4F" w:rsidP="00FB2F27">
      <w:pPr>
        <w:pStyle w:val="ListParagraph"/>
        <w:numPr>
          <w:ilvl w:val="2"/>
          <w:numId w:val="3"/>
        </w:numPr>
        <w:rPr>
          <w:color w:val="2B6B9E"/>
        </w:rPr>
      </w:pPr>
      <w:r>
        <w:rPr>
          <w:color w:val="2B6B9E"/>
        </w:rPr>
        <w:lastRenderedPageBreak/>
        <w:t xml:space="preserve">Consider </w:t>
      </w:r>
      <w:r w:rsidR="0024196C">
        <w:rPr>
          <w:color w:val="2B6B9E"/>
        </w:rPr>
        <w:t xml:space="preserve">making allowances for </w:t>
      </w:r>
      <w:r w:rsidR="00A534BD">
        <w:rPr>
          <w:color w:val="2B6B9E"/>
        </w:rPr>
        <w:t xml:space="preserve">loss of </w:t>
      </w:r>
      <w:r w:rsidR="00A100F5">
        <w:rPr>
          <w:color w:val="2B6B9E"/>
        </w:rPr>
        <w:t>opportunity costs</w:t>
      </w:r>
      <w:r w:rsidR="0024196C">
        <w:rPr>
          <w:color w:val="2B6B9E"/>
        </w:rPr>
        <w:t xml:space="preserve"> and include in the </w:t>
      </w:r>
      <w:r w:rsidR="00426A5C">
        <w:rPr>
          <w:color w:val="2B6B9E"/>
        </w:rPr>
        <w:t>compound interest</w:t>
      </w:r>
      <w:r w:rsidR="000E5B2D">
        <w:rPr>
          <w:color w:val="2B6B9E"/>
        </w:rPr>
        <w:t xml:space="preserve">. </w:t>
      </w:r>
    </w:p>
    <w:p w14:paraId="78705609" w14:textId="11B133BA" w:rsidR="00422D9E" w:rsidRDefault="00A77D0E" w:rsidP="00A77D0E">
      <w:pPr>
        <w:pStyle w:val="ListParagraph"/>
        <w:numPr>
          <w:ilvl w:val="2"/>
          <w:numId w:val="3"/>
        </w:numPr>
        <w:rPr>
          <w:color w:val="2B6B9E"/>
        </w:rPr>
      </w:pPr>
      <w:r w:rsidRPr="00A77D0E">
        <w:rPr>
          <w:color w:val="2B6B9E"/>
        </w:rPr>
        <w:t>Bank fees and tax implications should be taken to make sure they are covered by the employer</w:t>
      </w:r>
      <w:r>
        <w:rPr>
          <w:color w:val="2B6B9E"/>
        </w:rPr>
        <w:t>.</w:t>
      </w:r>
    </w:p>
    <w:p w14:paraId="12A77126" w14:textId="59B7A868" w:rsidR="00DA5304" w:rsidRDefault="00F62834" w:rsidP="00E53CBC">
      <w:pPr>
        <w:pStyle w:val="ListParagraph"/>
        <w:numPr>
          <w:ilvl w:val="1"/>
          <w:numId w:val="3"/>
        </w:numPr>
        <w:rPr>
          <w:color w:val="2B6B9E"/>
        </w:rPr>
      </w:pPr>
      <w:r>
        <w:rPr>
          <w:color w:val="2B6B9E"/>
        </w:rPr>
        <w:t xml:space="preserve">Reimbursement </w:t>
      </w:r>
      <w:r w:rsidR="00685F3D">
        <w:rPr>
          <w:color w:val="2B6B9E"/>
        </w:rPr>
        <w:t xml:space="preserve">shall be made </w:t>
      </w:r>
      <w:r>
        <w:rPr>
          <w:color w:val="2B6B9E"/>
        </w:rPr>
        <w:t xml:space="preserve">via a bank </w:t>
      </w:r>
      <w:r w:rsidR="00685F3D">
        <w:rPr>
          <w:color w:val="2B6B9E"/>
        </w:rPr>
        <w:t xml:space="preserve">or </w:t>
      </w:r>
      <w:r w:rsidR="00A81D8F">
        <w:rPr>
          <w:color w:val="2B6B9E"/>
        </w:rPr>
        <w:t>similar.</w:t>
      </w:r>
      <w:r w:rsidR="00685F3D">
        <w:rPr>
          <w:color w:val="2B6B9E"/>
        </w:rPr>
        <w:t xml:space="preserve"> </w:t>
      </w:r>
    </w:p>
    <w:p w14:paraId="35B388C3" w14:textId="454FE7A7" w:rsidR="00FD20C0" w:rsidRPr="00D43374" w:rsidRDefault="00FD20C0" w:rsidP="00FD20C0">
      <w:pPr>
        <w:rPr>
          <w:b/>
          <w:bCs/>
          <w:color w:val="2B6B9E"/>
        </w:rPr>
      </w:pPr>
      <w:r w:rsidRPr="00D43374">
        <w:rPr>
          <w:b/>
          <w:bCs/>
          <w:color w:val="2B6B9E"/>
        </w:rPr>
        <w:t xml:space="preserve">In case of any </w:t>
      </w:r>
      <w:r w:rsidR="00A81D8F" w:rsidRPr="00D43374">
        <w:rPr>
          <w:b/>
          <w:bCs/>
          <w:color w:val="2B6B9E"/>
        </w:rPr>
        <w:t>claims regarding</w:t>
      </w:r>
      <w:r w:rsidRPr="00D43374">
        <w:rPr>
          <w:b/>
          <w:bCs/>
          <w:color w:val="2B6B9E"/>
        </w:rPr>
        <w:t xml:space="preserve"> unauthorized service fees being charged the following procedure shall be implemented: </w:t>
      </w:r>
    </w:p>
    <w:p w14:paraId="4392840C" w14:textId="77777777" w:rsidR="00FD20C0" w:rsidRPr="0024422D" w:rsidRDefault="00FD20C0" w:rsidP="00FD20C0">
      <w:pPr>
        <w:pStyle w:val="ListParagraph"/>
        <w:rPr>
          <w:color w:val="2B6B9E"/>
        </w:rPr>
      </w:pPr>
    </w:p>
    <w:p w14:paraId="4E9D09D3" w14:textId="6AF41F65" w:rsidR="00FD20C0" w:rsidRPr="0024422D" w:rsidRDefault="00FD20C0" w:rsidP="003633ED">
      <w:pPr>
        <w:pStyle w:val="ListParagraph"/>
        <w:rPr>
          <w:color w:val="2B6B9E"/>
        </w:rPr>
      </w:pPr>
      <w:r w:rsidRPr="00F21707">
        <w:rPr>
          <w:b/>
          <w:bCs/>
          <w:color w:val="2B6B9E"/>
          <w:u w:val="single" w:color="2B6B9E"/>
        </w:rPr>
        <w:t>Step 1:</w:t>
      </w:r>
      <w:r w:rsidRPr="0024422D">
        <w:rPr>
          <w:color w:val="2B6B9E"/>
        </w:rPr>
        <w:t xml:space="preserve"> </w:t>
      </w:r>
      <w:r w:rsidR="00411E67" w:rsidRPr="00411E67">
        <w:rPr>
          <w:b/>
          <w:bCs/>
          <w:color w:val="2B6B9E"/>
        </w:rPr>
        <w:t>[Company]</w:t>
      </w:r>
      <w:r w:rsidRPr="0024422D">
        <w:rPr>
          <w:color w:val="2B6B9E"/>
        </w:rPr>
        <w:t xml:space="preserve"> HR </w:t>
      </w:r>
      <w:r w:rsidR="00D2778C">
        <w:rPr>
          <w:color w:val="2B6B9E"/>
        </w:rPr>
        <w:t>and</w:t>
      </w:r>
      <w:r w:rsidRPr="0024422D">
        <w:rPr>
          <w:color w:val="2B6B9E"/>
        </w:rPr>
        <w:t xml:space="preserve"> Welfare Department shall submit report of complete investigation into the</w:t>
      </w:r>
      <w:r w:rsidR="003633ED">
        <w:rPr>
          <w:color w:val="2B6B9E"/>
        </w:rPr>
        <w:t xml:space="preserve"> </w:t>
      </w:r>
      <w:r w:rsidRPr="0024422D">
        <w:rPr>
          <w:color w:val="2B6B9E"/>
        </w:rPr>
        <w:t>claims by the candidates within 15 days of arrival of candidates</w:t>
      </w:r>
      <w:r w:rsidR="003633ED">
        <w:rPr>
          <w:color w:val="2B6B9E"/>
        </w:rPr>
        <w:t>.</w:t>
      </w:r>
    </w:p>
    <w:p w14:paraId="798EBA57" w14:textId="77777777" w:rsidR="00FD20C0" w:rsidRPr="0024422D" w:rsidRDefault="00FD20C0" w:rsidP="00FD20C0">
      <w:pPr>
        <w:pStyle w:val="ListParagraph"/>
        <w:rPr>
          <w:color w:val="2B6B9E"/>
        </w:rPr>
      </w:pPr>
    </w:p>
    <w:p w14:paraId="4656369F" w14:textId="71FDC49D" w:rsidR="00FD20C0" w:rsidRPr="0024422D" w:rsidRDefault="00FD20C0" w:rsidP="003633ED">
      <w:pPr>
        <w:pStyle w:val="ListParagraph"/>
        <w:rPr>
          <w:color w:val="2B6B9E"/>
        </w:rPr>
      </w:pPr>
      <w:r w:rsidRPr="00F21707">
        <w:rPr>
          <w:b/>
          <w:bCs/>
          <w:color w:val="2B6B9E"/>
          <w:u w:val="single" w:color="2B6B9E"/>
        </w:rPr>
        <w:t xml:space="preserve">Step 2: </w:t>
      </w:r>
      <w:r w:rsidRPr="0024422D">
        <w:rPr>
          <w:color w:val="2B6B9E"/>
        </w:rPr>
        <w:t xml:space="preserve">The </w:t>
      </w:r>
      <w:r w:rsidR="00411E67">
        <w:rPr>
          <w:color w:val="2B6B9E"/>
        </w:rPr>
        <w:t>a</w:t>
      </w:r>
      <w:r w:rsidR="009B2592">
        <w:rPr>
          <w:color w:val="2B6B9E"/>
        </w:rPr>
        <w:t>gent</w:t>
      </w:r>
      <w:r w:rsidR="00411E67">
        <w:rPr>
          <w:color w:val="2B6B9E"/>
        </w:rPr>
        <w:t>/supplier</w:t>
      </w:r>
      <w:r w:rsidRPr="0024422D">
        <w:rPr>
          <w:color w:val="2B6B9E"/>
        </w:rPr>
        <w:t xml:space="preserve"> shall have 15 days from date of receipt of the report to conduct their own</w:t>
      </w:r>
      <w:r w:rsidR="003633ED">
        <w:rPr>
          <w:color w:val="2B6B9E"/>
        </w:rPr>
        <w:t xml:space="preserve"> </w:t>
      </w:r>
      <w:r w:rsidRPr="0024422D">
        <w:rPr>
          <w:color w:val="2B6B9E"/>
        </w:rPr>
        <w:t>investigation into the claims and respond with justification or mitigation measures including a</w:t>
      </w:r>
      <w:r w:rsidR="00A70ED0">
        <w:rPr>
          <w:color w:val="2B6B9E"/>
        </w:rPr>
        <w:t xml:space="preserve"> </w:t>
      </w:r>
      <w:r w:rsidRPr="0024422D">
        <w:rPr>
          <w:color w:val="2B6B9E"/>
        </w:rPr>
        <w:t>proposed reimbursement methodology for valid claims.</w:t>
      </w:r>
    </w:p>
    <w:p w14:paraId="747A3EEF" w14:textId="77777777" w:rsidR="00FD20C0" w:rsidRPr="0024422D" w:rsidRDefault="00FD20C0" w:rsidP="00FD20C0">
      <w:pPr>
        <w:pStyle w:val="ListParagraph"/>
        <w:rPr>
          <w:color w:val="2B6B9E"/>
        </w:rPr>
      </w:pPr>
    </w:p>
    <w:p w14:paraId="3114B358" w14:textId="2FB1BE8A" w:rsidR="00FD20C0" w:rsidRPr="0024422D" w:rsidRDefault="00FD20C0" w:rsidP="003633ED">
      <w:pPr>
        <w:pStyle w:val="ListParagraph"/>
        <w:rPr>
          <w:color w:val="2B6B9E"/>
        </w:rPr>
      </w:pPr>
      <w:r w:rsidRPr="00F21707">
        <w:rPr>
          <w:b/>
          <w:bCs/>
          <w:color w:val="2B6B9E"/>
          <w:u w:val="single" w:color="2B6B9E"/>
        </w:rPr>
        <w:t xml:space="preserve">Step 3: </w:t>
      </w:r>
      <w:r w:rsidRPr="0024422D">
        <w:rPr>
          <w:color w:val="2B6B9E"/>
        </w:rPr>
        <w:t xml:space="preserve">Upon receipt of response from the </w:t>
      </w:r>
      <w:r w:rsidR="00411E67">
        <w:rPr>
          <w:color w:val="2B6B9E"/>
        </w:rPr>
        <w:t>agent/supplier</w:t>
      </w:r>
      <w:r w:rsidR="00411E67" w:rsidRPr="0024422D">
        <w:rPr>
          <w:color w:val="2B6B9E"/>
        </w:rPr>
        <w:t xml:space="preserve"> </w:t>
      </w:r>
      <w:r w:rsidRPr="0024422D">
        <w:rPr>
          <w:color w:val="2B6B9E"/>
        </w:rPr>
        <w:t xml:space="preserve">the </w:t>
      </w:r>
      <w:r w:rsidR="00411E67" w:rsidRPr="00411E67">
        <w:rPr>
          <w:b/>
          <w:bCs/>
          <w:color w:val="2B6B9E"/>
        </w:rPr>
        <w:t>[company]</w:t>
      </w:r>
      <w:r w:rsidRPr="0024422D">
        <w:rPr>
          <w:color w:val="2B6B9E"/>
        </w:rPr>
        <w:t xml:space="preserve"> shall verify the information received</w:t>
      </w:r>
      <w:r w:rsidR="003633ED">
        <w:rPr>
          <w:color w:val="2B6B9E"/>
        </w:rPr>
        <w:t xml:space="preserve"> </w:t>
      </w:r>
      <w:r w:rsidRPr="0024422D">
        <w:rPr>
          <w:color w:val="2B6B9E"/>
        </w:rPr>
        <w:t xml:space="preserve">and verify the justification provided. </w:t>
      </w:r>
    </w:p>
    <w:p w14:paraId="0230F337" w14:textId="5D0CF3B2" w:rsidR="00FD20C0" w:rsidRPr="0024422D" w:rsidRDefault="00FD20C0" w:rsidP="00FD20C0">
      <w:pPr>
        <w:pStyle w:val="ListParagraph"/>
        <w:rPr>
          <w:color w:val="2B6B9E"/>
        </w:rPr>
      </w:pPr>
    </w:p>
    <w:p w14:paraId="368F2F98" w14:textId="7DA76CDA" w:rsidR="00FD20C0" w:rsidRPr="0024422D" w:rsidRDefault="00FD20C0" w:rsidP="003633ED">
      <w:pPr>
        <w:pStyle w:val="ListParagraph"/>
        <w:rPr>
          <w:color w:val="2B6B9E"/>
        </w:rPr>
      </w:pPr>
      <w:r w:rsidRPr="00F21707">
        <w:rPr>
          <w:b/>
          <w:bCs/>
          <w:color w:val="2B6B9E"/>
          <w:u w:val="single" w:color="2B6B9E"/>
        </w:rPr>
        <w:t>Step 4:</w:t>
      </w:r>
      <w:r w:rsidRPr="0024422D">
        <w:rPr>
          <w:color w:val="2B6B9E"/>
        </w:rPr>
        <w:t xml:space="preserve"> </w:t>
      </w:r>
      <w:r w:rsidR="00107A33" w:rsidRPr="00411E67">
        <w:rPr>
          <w:b/>
          <w:bCs/>
          <w:color w:val="2B6B9E"/>
        </w:rPr>
        <w:t>[Company]</w:t>
      </w:r>
      <w:r w:rsidR="00107A33" w:rsidRPr="0024422D">
        <w:rPr>
          <w:color w:val="2B6B9E"/>
        </w:rPr>
        <w:t xml:space="preserve"> </w:t>
      </w:r>
      <w:r w:rsidRPr="0024422D">
        <w:rPr>
          <w:color w:val="2B6B9E"/>
        </w:rPr>
        <w:t>shall withhold the service fees for the cumulative claims raised by the candidates</w:t>
      </w:r>
      <w:r w:rsidR="003633ED">
        <w:rPr>
          <w:color w:val="2B6B9E"/>
        </w:rPr>
        <w:t xml:space="preserve"> </w:t>
      </w:r>
      <w:r w:rsidRPr="0024422D">
        <w:rPr>
          <w:color w:val="2B6B9E"/>
        </w:rPr>
        <w:t xml:space="preserve">and release the pending amount of the service fees due to the </w:t>
      </w:r>
      <w:r w:rsidR="00107A33">
        <w:rPr>
          <w:color w:val="2B6B9E"/>
        </w:rPr>
        <w:t>agent/supplier</w:t>
      </w:r>
      <w:r w:rsidRPr="0024422D">
        <w:rPr>
          <w:color w:val="2B6B9E"/>
        </w:rPr>
        <w:t xml:space="preserve">. </w:t>
      </w:r>
    </w:p>
    <w:p w14:paraId="2E219E8E" w14:textId="012DF8BF" w:rsidR="00FD20C0" w:rsidRPr="0024422D" w:rsidRDefault="00FD20C0" w:rsidP="00FD20C0">
      <w:pPr>
        <w:pStyle w:val="ListParagraph"/>
        <w:rPr>
          <w:color w:val="2B6B9E"/>
        </w:rPr>
      </w:pPr>
    </w:p>
    <w:p w14:paraId="7B508DB2" w14:textId="0128C2B8" w:rsidR="00FD20C0" w:rsidRPr="0024422D" w:rsidRDefault="00FD20C0" w:rsidP="003633ED">
      <w:pPr>
        <w:pStyle w:val="ListParagraph"/>
        <w:rPr>
          <w:color w:val="2B6B9E"/>
        </w:rPr>
      </w:pPr>
      <w:r w:rsidRPr="00F21707">
        <w:rPr>
          <w:b/>
          <w:bCs/>
          <w:color w:val="2B6B9E"/>
          <w:u w:val="single" w:color="2B6B9E"/>
        </w:rPr>
        <w:t>Step 5:</w:t>
      </w:r>
      <w:r w:rsidRPr="0024422D">
        <w:rPr>
          <w:color w:val="2B6B9E"/>
        </w:rPr>
        <w:t xml:space="preserve"> The </w:t>
      </w:r>
      <w:r w:rsidR="00107A33">
        <w:rPr>
          <w:color w:val="2B6B9E"/>
        </w:rPr>
        <w:t>agent/supplier</w:t>
      </w:r>
      <w:r w:rsidR="00107A33" w:rsidRPr="0024422D">
        <w:rPr>
          <w:color w:val="2B6B9E"/>
        </w:rPr>
        <w:t xml:space="preserve"> </w:t>
      </w:r>
      <w:r w:rsidRPr="0024422D">
        <w:rPr>
          <w:color w:val="2B6B9E"/>
        </w:rPr>
        <w:t>shall have 60 days from date of receipt of initial investigation report to secure</w:t>
      </w:r>
      <w:r w:rsidR="003633ED">
        <w:rPr>
          <w:color w:val="2B6B9E"/>
        </w:rPr>
        <w:t xml:space="preserve"> </w:t>
      </w:r>
      <w:r w:rsidRPr="0024422D">
        <w:rPr>
          <w:color w:val="2B6B9E"/>
        </w:rPr>
        <w:t>reimbursement of recruitment fees from the unauthorized third party based on the details</w:t>
      </w:r>
      <w:r w:rsidR="003633ED">
        <w:rPr>
          <w:color w:val="2B6B9E"/>
        </w:rPr>
        <w:t xml:space="preserve"> </w:t>
      </w:r>
      <w:r w:rsidRPr="0024422D">
        <w:rPr>
          <w:color w:val="2B6B9E"/>
        </w:rPr>
        <w:t xml:space="preserve">provided by the </w:t>
      </w:r>
      <w:r w:rsidR="00107A33" w:rsidRPr="00411E67">
        <w:rPr>
          <w:b/>
          <w:bCs/>
          <w:color w:val="2B6B9E"/>
        </w:rPr>
        <w:t>[company]</w:t>
      </w:r>
      <w:r w:rsidR="003633ED">
        <w:rPr>
          <w:color w:val="2B6B9E"/>
        </w:rPr>
        <w:t>.</w:t>
      </w:r>
    </w:p>
    <w:p w14:paraId="5C58E51E" w14:textId="79109C8E" w:rsidR="00FD20C0" w:rsidRPr="0024422D" w:rsidRDefault="00FD20C0" w:rsidP="00FD20C0">
      <w:pPr>
        <w:pStyle w:val="ListParagraph"/>
        <w:rPr>
          <w:color w:val="2B6B9E"/>
        </w:rPr>
      </w:pPr>
    </w:p>
    <w:p w14:paraId="013AAB26" w14:textId="77E49DE4" w:rsidR="00FD20C0" w:rsidRPr="0024422D" w:rsidRDefault="00FD20C0" w:rsidP="00463EE4">
      <w:pPr>
        <w:pStyle w:val="ListParagraph"/>
        <w:rPr>
          <w:color w:val="2B6B9E"/>
        </w:rPr>
      </w:pPr>
      <w:r w:rsidRPr="00F21707">
        <w:rPr>
          <w:b/>
          <w:bCs/>
          <w:color w:val="2B6B9E"/>
          <w:u w:val="single" w:color="2B6B9E"/>
        </w:rPr>
        <w:t>Step 6:</w:t>
      </w:r>
      <w:r w:rsidRPr="0024422D">
        <w:rPr>
          <w:color w:val="2B6B9E"/>
        </w:rPr>
        <w:t xml:space="preserve"> </w:t>
      </w:r>
      <w:r w:rsidR="00107A33">
        <w:rPr>
          <w:color w:val="2B6B9E"/>
        </w:rPr>
        <w:t>[</w:t>
      </w:r>
      <w:r w:rsidR="00107A33" w:rsidRPr="00411E67">
        <w:rPr>
          <w:b/>
          <w:bCs/>
          <w:color w:val="2B6B9E"/>
        </w:rPr>
        <w:t>Company</w:t>
      </w:r>
      <w:r w:rsidR="00107A33">
        <w:rPr>
          <w:b/>
          <w:bCs/>
          <w:color w:val="2B6B9E"/>
        </w:rPr>
        <w:t>]</w:t>
      </w:r>
      <w:r w:rsidR="00107A33" w:rsidRPr="0024422D">
        <w:rPr>
          <w:color w:val="2B6B9E"/>
        </w:rPr>
        <w:t xml:space="preserve"> </w:t>
      </w:r>
      <w:r w:rsidRPr="0024422D">
        <w:rPr>
          <w:color w:val="2B6B9E"/>
        </w:rPr>
        <w:t>to conduct secondary round of interviews to re-establish the validity of the claims</w:t>
      </w:r>
      <w:r w:rsidR="00463EE4">
        <w:rPr>
          <w:color w:val="2B6B9E"/>
        </w:rPr>
        <w:t xml:space="preserve"> </w:t>
      </w:r>
      <w:r w:rsidRPr="0024422D">
        <w:rPr>
          <w:color w:val="2B6B9E"/>
        </w:rPr>
        <w:t>raised by each candidate and share the secondary investigation report</w:t>
      </w:r>
      <w:r w:rsidR="003633ED">
        <w:rPr>
          <w:color w:val="2B6B9E"/>
        </w:rPr>
        <w:t>.</w:t>
      </w:r>
    </w:p>
    <w:p w14:paraId="42C470CD" w14:textId="77777777" w:rsidR="00FD20C0" w:rsidRPr="0024422D" w:rsidRDefault="00FD20C0" w:rsidP="00FD20C0">
      <w:pPr>
        <w:pStyle w:val="ListParagraph"/>
        <w:rPr>
          <w:color w:val="2B6B9E"/>
        </w:rPr>
      </w:pPr>
    </w:p>
    <w:p w14:paraId="71FE114B" w14:textId="6803A7CF" w:rsidR="00FD20C0" w:rsidRPr="0024422D" w:rsidRDefault="00FD20C0" w:rsidP="00463EE4">
      <w:pPr>
        <w:pStyle w:val="ListParagraph"/>
        <w:rPr>
          <w:color w:val="2B6B9E"/>
        </w:rPr>
      </w:pPr>
      <w:r w:rsidRPr="00F21707">
        <w:rPr>
          <w:b/>
          <w:bCs/>
          <w:color w:val="2B6B9E"/>
          <w:u w:val="single" w:color="2B6B9E"/>
        </w:rPr>
        <w:t>Step 7:</w:t>
      </w:r>
      <w:r w:rsidRPr="0024422D">
        <w:rPr>
          <w:color w:val="2B6B9E"/>
        </w:rPr>
        <w:t xml:space="preserve"> </w:t>
      </w:r>
      <w:r w:rsidR="00107A33">
        <w:rPr>
          <w:color w:val="2B6B9E"/>
        </w:rPr>
        <w:t>[</w:t>
      </w:r>
      <w:r w:rsidR="00107A33" w:rsidRPr="00411E67">
        <w:rPr>
          <w:b/>
          <w:bCs/>
          <w:color w:val="2B6B9E"/>
        </w:rPr>
        <w:t>Company</w:t>
      </w:r>
      <w:r w:rsidR="00107A33">
        <w:rPr>
          <w:b/>
          <w:bCs/>
          <w:color w:val="2B6B9E"/>
        </w:rPr>
        <w:t>]</w:t>
      </w:r>
      <w:r w:rsidR="00107A33" w:rsidRPr="0024422D">
        <w:rPr>
          <w:color w:val="2B6B9E"/>
        </w:rPr>
        <w:t xml:space="preserve"> </w:t>
      </w:r>
      <w:r w:rsidRPr="0024422D">
        <w:rPr>
          <w:color w:val="2B6B9E"/>
        </w:rPr>
        <w:t>shall reimburse the unauthorized fees charged to the candidates to the direct bank</w:t>
      </w:r>
      <w:r w:rsidR="00463EE4">
        <w:rPr>
          <w:color w:val="2B6B9E"/>
        </w:rPr>
        <w:t xml:space="preserve"> </w:t>
      </w:r>
      <w:r w:rsidRPr="0024422D">
        <w:rPr>
          <w:color w:val="2B6B9E"/>
        </w:rPr>
        <w:t xml:space="preserve">account of the candidates and submit proof of reimbursement to </w:t>
      </w:r>
      <w:r w:rsidR="00107A33">
        <w:rPr>
          <w:color w:val="2B6B9E"/>
        </w:rPr>
        <w:t>agent/supplier</w:t>
      </w:r>
      <w:r w:rsidR="003633ED">
        <w:rPr>
          <w:color w:val="2B6B9E"/>
        </w:rPr>
        <w:t>.</w:t>
      </w:r>
    </w:p>
    <w:p w14:paraId="3AEA6880" w14:textId="77777777" w:rsidR="00FD20C0" w:rsidRPr="0024422D" w:rsidRDefault="00FD20C0" w:rsidP="00FD20C0">
      <w:pPr>
        <w:pStyle w:val="ListParagraph"/>
        <w:rPr>
          <w:color w:val="2B6B9E"/>
        </w:rPr>
      </w:pPr>
    </w:p>
    <w:p w14:paraId="202226E2" w14:textId="7E947D26" w:rsidR="00FD20C0" w:rsidRPr="0024422D" w:rsidRDefault="00FD20C0" w:rsidP="00FD20C0">
      <w:pPr>
        <w:pStyle w:val="ListParagraph"/>
        <w:rPr>
          <w:color w:val="2B6B9E"/>
        </w:rPr>
      </w:pPr>
      <w:r w:rsidRPr="00F21707">
        <w:rPr>
          <w:b/>
          <w:bCs/>
          <w:color w:val="2B6B9E"/>
          <w:u w:val="single" w:color="2B6B9E"/>
        </w:rPr>
        <w:t>Step 8:</w:t>
      </w:r>
      <w:r w:rsidRPr="0024422D">
        <w:rPr>
          <w:color w:val="2B6B9E"/>
        </w:rPr>
        <w:t xml:space="preserve"> </w:t>
      </w:r>
      <w:r w:rsidR="00107A33" w:rsidRPr="00411E67">
        <w:rPr>
          <w:b/>
          <w:bCs/>
          <w:color w:val="2B6B9E"/>
        </w:rPr>
        <w:t>[</w:t>
      </w:r>
      <w:r w:rsidR="00107A33">
        <w:rPr>
          <w:b/>
          <w:bCs/>
          <w:color w:val="2B6B9E"/>
        </w:rPr>
        <w:t>C</w:t>
      </w:r>
      <w:r w:rsidR="00107A33" w:rsidRPr="00411E67">
        <w:rPr>
          <w:b/>
          <w:bCs/>
          <w:color w:val="2B6B9E"/>
        </w:rPr>
        <w:t>ompany]</w:t>
      </w:r>
      <w:r w:rsidR="00107A33" w:rsidRPr="0024422D">
        <w:rPr>
          <w:color w:val="2B6B9E"/>
        </w:rPr>
        <w:t xml:space="preserve"> </w:t>
      </w:r>
      <w:r w:rsidRPr="0024422D">
        <w:rPr>
          <w:color w:val="2B6B9E"/>
        </w:rPr>
        <w:t xml:space="preserve">shall release all pending amounts due to the </w:t>
      </w:r>
      <w:r w:rsidR="00107A33">
        <w:rPr>
          <w:color w:val="2B6B9E"/>
        </w:rPr>
        <w:t>agent/supplier</w:t>
      </w:r>
      <w:r w:rsidR="00107A33" w:rsidRPr="0024422D">
        <w:rPr>
          <w:color w:val="2B6B9E"/>
        </w:rPr>
        <w:t xml:space="preserve"> </w:t>
      </w:r>
      <w:r w:rsidRPr="0024422D">
        <w:rPr>
          <w:color w:val="2B6B9E"/>
        </w:rPr>
        <w:t>gent minus the cumulative</w:t>
      </w:r>
      <w:r w:rsidR="00430017">
        <w:rPr>
          <w:color w:val="2B6B9E"/>
        </w:rPr>
        <w:t xml:space="preserve"> </w:t>
      </w:r>
      <w:r w:rsidRPr="0024422D">
        <w:rPr>
          <w:color w:val="2B6B9E"/>
        </w:rPr>
        <w:t xml:space="preserve">unauthorized fee reimbursement made to the candidates on behalf of the </w:t>
      </w:r>
      <w:r w:rsidR="00107A33">
        <w:rPr>
          <w:color w:val="2B6B9E"/>
        </w:rPr>
        <w:t>agent/supplier</w:t>
      </w:r>
      <w:r w:rsidRPr="0024422D">
        <w:rPr>
          <w:color w:val="2B6B9E"/>
        </w:rPr>
        <w:t xml:space="preserve">. </w:t>
      </w:r>
    </w:p>
    <w:p w14:paraId="593A6C77" w14:textId="77777777" w:rsidR="00FD20C0" w:rsidRPr="0024422D" w:rsidRDefault="00FD20C0" w:rsidP="00FD20C0">
      <w:pPr>
        <w:pStyle w:val="ListParagraph"/>
        <w:rPr>
          <w:color w:val="2B6B9E"/>
        </w:rPr>
      </w:pPr>
    </w:p>
    <w:p w14:paraId="315FEC32" w14:textId="72BE0F70" w:rsidR="00FD20C0" w:rsidRPr="00293704" w:rsidRDefault="00FD20C0" w:rsidP="00FD20C0">
      <w:pPr>
        <w:pStyle w:val="ListParagraph"/>
        <w:rPr>
          <w:color w:val="2B6B9E"/>
        </w:rPr>
      </w:pPr>
      <w:r w:rsidRPr="00F21707">
        <w:rPr>
          <w:b/>
          <w:bCs/>
          <w:color w:val="2B6B9E"/>
          <w:u w:val="single" w:color="2B6B9E"/>
        </w:rPr>
        <w:t>Step 9:</w:t>
      </w:r>
      <w:r w:rsidRPr="0024422D">
        <w:rPr>
          <w:color w:val="2B6B9E"/>
        </w:rPr>
        <w:t xml:space="preserve"> Performance Assessment &amp; Close out Report</w:t>
      </w:r>
      <w:r w:rsidR="003633ED">
        <w:rPr>
          <w:color w:val="2B6B9E"/>
        </w:rPr>
        <w:t>.</w:t>
      </w:r>
    </w:p>
    <w:p w14:paraId="577AC3F4" w14:textId="2A04BBAC" w:rsidR="008C6179" w:rsidRDefault="007062EF" w:rsidP="00FD20C0">
      <w:pPr>
        <w:rPr>
          <w:color w:val="2B6B9E"/>
        </w:rPr>
      </w:pPr>
      <w:r w:rsidRPr="1A777E7C">
        <w:rPr>
          <w:color w:val="2B6B9E"/>
        </w:rPr>
        <w:t xml:space="preserve"> </w:t>
      </w:r>
    </w:p>
    <w:p w14:paraId="1ECD8BE4" w14:textId="77777777" w:rsidR="00C34BCC" w:rsidRDefault="00C34BCC" w:rsidP="00FD20C0">
      <w:pPr>
        <w:rPr>
          <w:color w:val="2B6B9E"/>
        </w:rPr>
      </w:pPr>
    </w:p>
    <w:p w14:paraId="44953F58" w14:textId="77777777" w:rsidR="00AF43A0" w:rsidRDefault="00AF43A0" w:rsidP="00FD20C0">
      <w:pPr>
        <w:rPr>
          <w:color w:val="2B6B9E"/>
        </w:rPr>
      </w:pPr>
    </w:p>
    <w:p w14:paraId="1F17C9A5" w14:textId="77777777" w:rsidR="008C6179" w:rsidRDefault="008C6179" w:rsidP="00FD20C0"/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3077"/>
        <w:gridCol w:w="3843"/>
        <w:gridCol w:w="1926"/>
      </w:tblGrid>
      <w:tr w:rsidR="00F21A68" w:rsidRPr="00D42391" w14:paraId="73E0F3BD" w14:textId="77777777" w:rsidTr="00FE7249">
        <w:trPr>
          <w:trHeight w:val="257"/>
        </w:trPr>
        <w:tc>
          <w:tcPr>
            <w:tcW w:w="8846" w:type="dxa"/>
            <w:gridSpan w:val="3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2B088501" w14:textId="5719C8A5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  <w:lastRenderedPageBreak/>
              <w:t>Table of Recruitment fees by Country</w:t>
            </w:r>
            <w:r w:rsidR="00253B73" w:rsidRPr="00FE7249"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  <w:t xml:space="preserve"> </w:t>
            </w:r>
            <w:r w:rsidR="00253B73"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(updated in July 2023)</w:t>
            </w:r>
          </w:p>
        </w:tc>
      </w:tr>
      <w:tr w:rsidR="00F21A68" w:rsidRPr="00D42391" w14:paraId="39134076" w14:textId="77777777" w:rsidTr="00FE7249">
        <w:trPr>
          <w:trHeight w:val="420"/>
        </w:trPr>
        <w:tc>
          <w:tcPr>
            <w:tcW w:w="3077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2DD0F8FE" w14:textId="41BA74A0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  <w:t>Sourcing Country</w:t>
            </w: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44ECEC4F" w14:textId="2918FC29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  <w:t>Description of Fees / Expense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503269D7" w14:textId="3E8E8929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  <w:t>Unit Amount (USD)</w:t>
            </w:r>
          </w:p>
        </w:tc>
      </w:tr>
      <w:tr w:rsidR="00F21A68" w14:paraId="7AC6110B" w14:textId="77777777" w:rsidTr="00FE7249">
        <w:trPr>
          <w:trHeight w:val="266"/>
        </w:trPr>
        <w:tc>
          <w:tcPr>
            <w:tcW w:w="3077" w:type="dxa"/>
            <w:vMerge w:val="restart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45DFDB7C" w14:textId="5E698532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</w:t>
            </w:r>
          </w:p>
          <w:p w14:paraId="3F35CDCB" w14:textId="08CE2845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</w:t>
            </w:r>
          </w:p>
          <w:p w14:paraId="0135D387" w14:textId="44A3DB23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</w:t>
            </w:r>
          </w:p>
          <w:p w14:paraId="6767D7B5" w14:textId="173C561A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</w:t>
            </w:r>
          </w:p>
          <w:p w14:paraId="58EDFE93" w14:textId="3094BA11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</w:t>
            </w:r>
          </w:p>
          <w:p w14:paraId="2C457BCE" w14:textId="37A63E2B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</w:t>
            </w:r>
          </w:p>
          <w:p w14:paraId="2BAE8BD3" w14:textId="1780DEFC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Nepal</w:t>
            </w: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42C46B59" w14:textId="46F94716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Service Fees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7DB6ACAA" w14:textId="4AE5E566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200</w:t>
            </w:r>
          </w:p>
        </w:tc>
      </w:tr>
      <w:tr w:rsidR="00F21A68" w14:paraId="6A101CC6" w14:textId="77777777" w:rsidTr="00FE7249">
        <w:trPr>
          <w:trHeight w:val="293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11F3263A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10B9C9B8" w14:textId="27EED58A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Interview Charges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003BE0DD" w14:textId="6FED1234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15</w:t>
            </w:r>
          </w:p>
        </w:tc>
      </w:tr>
      <w:tr w:rsidR="00F21A68" w14:paraId="5E4A019D" w14:textId="77777777" w:rsidTr="00FE7249">
        <w:trPr>
          <w:trHeight w:val="257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040BC82D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6A5A73EA" w14:textId="4304AFF0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Insurance Cost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719EE3F2" w14:textId="2F38E378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37</w:t>
            </w:r>
          </w:p>
        </w:tc>
      </w:tr>
      <w:tr w:rsidR="00F21A68" w14:paraId="4B35A1FF" w14:textId="77777777" w:rsidTr="00FE7249">
        <w:trPr>
          <w:trHeight w:val="239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6BD8B52A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3BE521A6" w14:textId="182DB4E1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Administration Cost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4497AEED" w14:textId="2BED0B45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15</w:t>
            </w:r>
          </w:p>
        </w:tc>
      </w:tr>
      <w:tr w:rsidR="00F21A68" w14:paraId="6D482FF0" w14:textId="77777777" w:rsidTr="00FE7249">
        <w:trPr>
          <w:trHeight w:val="312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1BC60BF6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57CE8D83" w14:textId="3D46B2EC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Orientation Charges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30A816B6" w14:textId="59E2380D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07</w:t>
            </w:r>
          </w:p>
        </w:tc>
      </w:tr>
      <w:tr w:rsidR="00F21A68" w14:paraId="79B3D1BF" w14:textId="77777777" w:rsidTr="00FE7249">
        <w:trPr>
          <w:trHeight w:val="257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6AA0A3EC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12353C51" w14:textId="06D1A182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Workers Welfare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17CA3619" w14:textId="393196E9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15</w:t>
            </w:r>
          </w:p>
        </w:tc>
      </w:tr>
      <w:tr w:rsidR="00F21A68" w14:paraId="408EACA9" w14:textId="77777777" w:rsidTr="00FE7249">
        <w:trPr>
          <w:trHeight w:val="330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083AAEFE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1D291B69" w14:textId="7BA6283E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Advertisement Cost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77703B69" w14:textId="38B4548C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20</w:t>
            </w:r>
          </w:p>
        </w:tc>
      </w:tr>
      <w:tr w:rsidR="00F21A68" w14:paraId="0BF74666" w14:textId="77777777" w:rsidTr="00FE7249">
        <w:trPr>
          <w:trHeight w:val="284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65A16F28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63B6AA69" w14:textId="05ADED1C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Pre-Departure PCR Test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6D5DBC8C" w14:textId="58AB5A3F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20</w:t>
            </w:r>
          </w:p>
        </w:tc>
      </w:tr>
      <w:tr w:rsidR="00F21A68" w14:paraId="447F641E" w14:textId="77777777" w:rsidTr="00FE7249">
        <w:trPr>
          <w:trHeight w:val="203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2E2E3149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7B1EB853" w14:textId="3975CB85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  <w:t>Total Fees per Candidate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04CBC019" w14:textId="3D120340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  <w:t>329</w:t>
            </w:r>
          </w:p>
        </w:tc>
      </w:tr>
      <w:tr w:rsidR="00F21A68" w14:paraId="6CA14AA7" w14:textId="77777777" w:rsidTr="00355D3D">
        <w:trPr>
          <w:trHeight w:val="286"/>
        </w:trPr>
        <w:tc>
          <w:tcPr>
            <w:tcW w:w="3077" w:type="dxa"/>
            <w:vMerge w:val="restart"/>
            <w:tcBorders>
              <w:top w:val="single" w:sz="8" w:space="0" w:color="2B6B9E"/>
              <w:left w:val="single" w:sz="8" w:space="0" w:color="2B6B9E"/>
              <w:right w:val="single" w:sz="8" w:space="0" w:color="2B6B9E"/>
            </w:tcBorders>
          </w:tcPr>
          <w:p w14:paraId="14499F2C" w14:textId="116BA650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</w:t>
            </w:r>
          </w:p>
          <w:p w14:paraId="7B962539" w14:textId="5F4170F5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</w:t>
            </w:r>
          </w:p>
          <w:p w14:paraId="58451A4D" w14:textId="43922E62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</w:t>
            </w:r>
          </w:p>
          <w:p w14:paraId="17AB8D21" w14:textId="29D28C72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</w:t>
            </w:r>
          </w:p>
          <w:p w14:paraId="3BD75546" w14:textId="764A46C5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</w:t>
            </w:r>
          </w:p>
          <w:p w14:paraId="0AD855CA" w14:textId="74BBF8E8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India</w:t>
            </w: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59A9E412" w14:textId="0201D378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Management &amp; Service Fees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4BE4FDF6" w14:textId="360073E0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250</w:t>
            </w:r>
          </w:p>
        </w:tc>
      </w:tr>
      <w:tr w:rsidR="00F21A68" w14:paraId="441B99F7" w14:textId="77777777" w:rsidTr="00355D3D">
        <w:trPr>
          <w:trHeight w:val="286"/>
        </w:trPr>
        <w:tc>
          <w:tcPr>
            <w:tcW w:w="3077" w:type="dxa"/>
            <w:vMerge/>
            <w:tcBorders>
              <w:left w:val="single" w:sz="8" w:space="0" w:color="2B6B9E"/>
              <w:right w:val="single" w:sz="8" w:space="0" w:color="2B6B9E"/>
            </w:tcBorders>
            <w:vAlign w:val="center"/>
          </w:tcPr>
          <w:p w14:paraId="354A0CB1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24C38C3E" w14:textId="1A18B895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Advertisement Cost</w:t>
            </w:r>
            <w:r w:rsidR="006D679B"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 xml:space="preserve"> (Per Advertisement)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2C388E05" w14:textId="21BD9476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550</w:t>
            </w:r>
          </w:p>
        </w:tc>
      </w:tr>
      <w:tr w:rsidR="00F21A68" w14:paraId="504361F0" w14:textId="77777777" w:rsidTr="00355D3D">
        <w:trPr>
          <w:trHeight w:val="558"/>
        </w:trPr>
        <w:tc>
          <w:tcPr>
            <w:tcW w:w="3077" w:type="dxa"/>
            <w:vMerge/>
            <w:tcBorders>
              <w:left w:val="single" w:sz="8" w:space="0" w:color="2B6B9E"/>
              <w:right w:val="single" w:sz="8" w:space="0" w:color="2B6B9E"/>
            </w:tcBorders>
            <w:vAlign w:val="center"/>
          </w:tcPr>
          <w:p w14:paraId="042D6990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7647C1EF" w14:textId="425B934B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Immigration Fees per candidate</w:t>
            </w:r>
          </w:p>
          <w:p w14:paraId="317FCB7C" w14:textId="1E76152E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(ECR Passport Holders only)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47D27235" w14:textId="655A8475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41</w:t>
            </w:r>
          </w:p>
        </w:tc>
      </w:tr>
      <w:tr w:rsidR="00F21A68" w14:paraId="09705C6B" w14:textId="77777777" w:rsidTr="00355D3D">
        <w:trPr>
          <w:trHeight w:val="284"/>
        </w:trPr>
        <w:tc>
          <w:tcPr>
            <w:tcW w:w="3077" w:type="dxa"/>
            <w:vMerge/>
            <w:tcBorders>
              <w:left w:val="single" w:sz="8" w:space="0" w:color="2B6B9E"/>
              <w:right w:val="single" w:sz="8" w:space="0" w:color="2B6B9E"/>
            </w:tcBorders>
            <w:vAlign w:val="center"/>
          </w:tcPr>
          <w:p w14:paraId="5B4B5AC4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38AA43F2" w14:textId="42EA7A5B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Interview/Trade Test Fees (Per Day)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5FAE2B3E" w14:textId="0C03A956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500</w:t>
            </w:r>
          </w:p>
        </w:tc>
      </w:tr>
      <w:tr w:rsidR="00F21A68" w14:paraId="60345572" w14:textId="77777777" w:rsidTr="00355D3D">
        <w:trPr>
          <w:trHeight w:val="286"/>
        </w:trPr>
        <w:tc>
          <w:tcPr>
            <w:tcW w:w="3077" w:type="dxa"/>
            <w:vMerge/>
            <w:tcBorders>
              <w:left w:val="single" w:sz="8" w:space="0" w:color="2B6B9E"/>
              <w:right w:val="single" w:sz="8" w:space="0" w:color="2B6B9E"/>
            </w:tcBorders>
            <w:vAlign w:val="center"/>
          </w:tcPr>
          <w:p w14:paraId="742C4EE1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512EDD5A" w14:textId="5F807093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Pre-Departure Per Candidate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5844200C" w14:textId="265A759C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15</w:t>
            </w:r>
          </w:p>
        </w:tc>
      </w:tr>
      <w:tr w:rsidR="00F21A68" w14:paraId="40E814BD" w14:textId="77777777" w:rsidTr="00355D3D">
        <w:trPr>
          <w:trHeight w:val="286"/>
        </w:trPr>
        <w:tc>
          <w:tcPr>
            <w:tcW w:w="3077" w:type="dxa"/>
            <w:vMerge/>
            <w:tcBorders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038B1BBD" w14:textId="77777777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0AB3E553" w14:textId="75D390AA" w:rsidR="00F21A68" w:rsidRPr="00FE7249" w:rsidRDefault="00F21A68" w:rsidP="00F21A68">
            <w:pPr>
              <w:contextualSpacing/>
              <w:rPr>
                <w:rFonts w:ascii="Calibri" w:eastAsia="Calibri" w:hAnsi="Calibri" w:cs="Calibri"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  <w:t>Total Fees per Candidate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32715574" w14:textId="0DCD9666" w:rsidR="00F21A68" w:rsidRPr="00FE7249" w:rsidRDefault="00F21A68" w:rsidP="00F21A68">
            <w:pPr>
              <w:contextualSpacing/>
              <w:jc w:val="center"/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  <w:t>1356</w:t>
            </w:r>
          </w:p>
        </w:tc>
      </w:tr>
      <w:tr w:rsidR="00F21A68" w14:paraId="0A721371" w14:textId="77777777" w:rsidTr="00FE7249">
        <w:trPr>
          <w:trHeight w:val="286"/>
        </w:trPr>
        <w:tc>
          <w:tcPr>
            <w:tcW w:w="3077" w:type="dxa"/>
            <w:vMerge w:val="restart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171D2A6F" w14:textId="23B27AD0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  <w:r w:rsidRPr="00FE7249">
              <w:rPr>
                <w:rFonts w:ascii="Times New Roman" w:eastAsia="Times New Roman" w:hAnsi="Times New Roman" w:cs="Times New Roman"/>
                <w:color w:val="2B6B9E"/>
                <w:sz w:val="20"/>
                <w:szCs w:val="20"/>
              </w:rPr>
              <w:t xml:space="preserve"> </w:t>
            </w:r>
          </w:p>
          <w:p w14:paraId="3DCDE108" w14:textId="4D45909B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  <w:r w:rsidRPr="00FE7249">
              <w:rPr>
                <w:rFonts w:ascii="Times New Roman" w:eastAsia="Times New Roman" w:hAnsi="Times New Roman" w:cs="Times New Roman"/>
                <w:color w:val="2B6B9E"/>
                <w:sz w:val="20"/>
                <w:szCs w:val="20"/>
              </w:rPr>
              <w:t xml:space="preserve"> </w:t>
            </w:r>
          </w:p>
          <w:p w14:paraId="54E0C2F6" w14:textId="160027FD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  <w:r w:rsidRPr="00FE7249">
              <w:rPr>
                <w:rFonts w:ascii="Times New Roman" w:eastAsia="Times New Roman" w:hAnsi="Times New Roman" w:cs="Times New Roman"/>
                <w:color w:val="2B6B9E"/>
                <w:sz w:val="20"/>
                <w:szCs w:val="20"/>
              </w:rPr>
              <w:t xml:space="preserve"> </w:t>
            </w:r>
          </w:p>
          <w:p w14:paraId="762638E7" w14:textId="0B90EE86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  <w:r w:rsidRPr="00FE7249">
              <w:rPr>
                <w:rFonts w:ascii="Times New Roman" w:eastAsia="Times New Roman" w:hAnsi="Times New Roman" w:cs="Times New Roman"/>
                <w:color w:val="2B6B9E"/>
                <w:sz w:val="20"/>
                <w:szCs w:val="20"/>
              </w:rPr>
              <w:t xml:space="preserve"> </w:t>
            </w:r>
          </w:p>
          <w:p w14:paraId="7B75C12D" w14:textId="52B05796" w:rsidR="00F21A68" w:rsidRPr="00FE7249" w:rsidRDefault="00F21A68" w:rsidP="00F21A68">
            <w:pPr>
              <w:contextualSpacing/>
              <w:jc w:val="center"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Kenya</w:t>
            </w: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30675C1C" w14:textId="7135B8D4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Management &amp; Recruitment Fees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220CCDE5" w14:textId="7ECAC982" w:rsidR="00F21A68" w:rsidRPr="00FE7249" w:rsidRDefault="00F21A68" w:rsidP="00F21A68">
            <w:pPr>
              <w:contextualSpacing/>
              <w:jc w:val="center"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250</w:t>
            </w:r>
          </w:p>
        </w:tc>
      </w:tr>
      <w:tr w:rsidR="00F21A68" w14:paraId="231A2568" w14:textId="77777777" w:rsidTr="00FE7249">
        <w:trPr>
          <w:trHeight w:val="317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5A8EF389" w14:textId="77777777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70EE148E" w14:textId="2C46A12D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Medical Screening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51087ABC" w14:textId="245A30D0" w:rsidR="00F21A68" w:rsidRPr="00FE7249" w:rsidRDefault="00F21A68" w:rsidP="00F21A68">
            <w:pPr>
              <w:contextualSpacing/>
              <w:jc w:val="center"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53</w:t>
            </w:r>
          </w:p>
        </w:tc>
      </w:tr>
      <w:tr w:rsidR="00F21A68" w14:paraId="63E59695" w14:textId="77777777" w:rsidTr="00FE7249">
        <w:trPr>
          <w:trHeight w:val="317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3895A26B" w14:textId="77777777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656F30CE" w14:textId="72366203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Certificate of good conduct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190DA89C" w14:textId="53DC5285" w:rsidR="00F21A68" w:rsidRPr="00FE7249" w:rsidRDefault="00F21A68" w:rsidP="00F21A68">
            <w:pPr>
              <w:contextualSpacing/>
              <w:jc w:val="center"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55</w:t>
            </w:r>
          </w:p>
        </w:tc>
      </w:tr>
      <w:tr w:rsidR="00F21A68" w14:paraId="73E85266" w14:textId="77777777" w:rsidTr="00FE7249">
        <w:trPr>
          <w:trHeight w:val="317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675A6EE8" w14:textId="77777777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305D83BF" w14:textId="7FC969C3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Yellow Fever Testing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33BECCAC" w14:textId="6DAB47F3" w:rsidR="00F21A68" w:rsidRPr="00FE7249" w:rsidRDefault="00F21A68" w:rsidP="00F21A68">
            <w:pPr>
              <w:contextualSpacing/>
              <w:jc w:val="center"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42.5</w:t>
            </w:r>
          </w:p>
        </w:tc>
      </w:tr>
      <w:tr w:rsidR="00F21A68" w14:paraId="011DA923" w14:textId="77777777" w:rsidTr="00FE7249">
        <w:trPr>
          <w:trHeight w:val="317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52CC12BC" w14:textId="77777777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54E98B3A" w14:textId="14B3F215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Pre-Departure PCR Test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3CCD3592" w14:textId="590A4AA6" w:rsidR="00F21A68" w:rsidRPr="00FE7249" w:rsidRDefault="00F21A68" w:rsidP="00F21A68">
            <w:pPr>
              <w:contextualSpacing/>
              <w:jc w:val="center"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color w:val="2B6B9E"/>
                <w:sz w:val="20"/>
                <w:szCs w:val="20"/>
              </w:rPr>
              <w:t>53</w:t>
            </w:r>
          </w:p>
        </w:tc>
      </w:tr>
      <w:tr w:rsidR="00F21A68" w14:paraId="312F9C88" w14:textId="77777777" w:rsidTr="00FE7249">
        <w:trPr>
          <w:trHeight w:val="317"/>
        </w:trPr>
        <w:tc>
          <w:tcPr>
            <w:tcW w:w="3077" w:type="dxa"/>
            <w:vMerge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  <w:vAlign w:val="center"/>
          </w:tcPr>
          <w:p w14:paraId="0F02FF9F" w14:textId="77777777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53F36C40" w14:textId="62EBB23E" w:rsidR="00F21A68" w:rsidRPr="00FE7249" w:rsidRDefault="00F21A68" w:rsidP="00F21A68">
            <w:pPr>
              <w:contextualSpacing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  <w:t>Total Fees per Candidate</w:t>
            </w:r>
          </w:p>
        </w:tc>
        <w:tc>
          <w:tcPr>
            <w:tcW w:w="1926" w:type="dxa"/>
            <w:tcBorders>
              <w:top w:val="single" w:sz="8" w:space="0" w:color="2B6B9E"/>
              <w:left w:val="single" w:sz="8" w:space="0" w:color="2B6B9E"/>
              <w:bottom w:val="single" w:sz="8" w:space="0" w:color="2B6B9E"/>
              <w:right w:val="single" w:sz="8" w:space="0" w:color="2B6B9E"/>
            </w:tcBorders>
          </w:tcPr>
          <w:p w14:paraId="7CCE38C5" w14:textId="45CA78EE" w:rsidR="00F21A68" w:rsidRPr="00FE7249" w:rsidRDefault="00F21A68" w:rsidP="00F21A68">
            <w:pPr>
              <w:contextualSpacing/>
              <w:jc w:val="center"/>
              <w:rPr>
                <w:color w:val="2B6B9E"/>
                <w:sz w:val="20"/>
                <w:szCs w:val="20"/>
              </w:rPr>
            </w:pPr>
            <w:r w:rsidRPr="00FE7249">
              <w:rPr>
                <w:rFonts w:ascii="Calibri" w:eastAsia="Calibri" w:hAnsi="Calibri" w:cs="Calibri"/>
                <w:b/>
                <w:color w:val="2B6B9E"/>
                <w:sz w:val="20"/>
                <w:szCs w:val="20"/>
              </w:rPr>
              <w:t>453.5</w:t>
            </w:r>
          </w:p>
        </w:tc>
      </w:tr>
    </w:tbl>
    <w:p w14:paraId="2A390675" w14:textId="630C108E" w:rsidR="00C71C2C" w:rsidRDefault="00C71C2C" w:rsidP="00FD20C0">
      <w:pPr>
        <w:rPr>
          <w:color w:val="2B6B9E"/>
        </w:rPr>
      </w:pPr>
    </w:p>
    <w:p w14:paraId="2D99430B" w14:textId="77777777" w:rsidR="00C71C2C" w:rsidRDefault="00C71C2C" w:rsidP="00FD20C0">
      <w:pPr>
        <w:rPr>
          <w:color w:val="2B6B9E"/>
        </w:rPr>
      </w:pPr>
    </w:p>
    <w:p w14:paraId="47F50145" w14:textId="68B973B8" w:rsidR="00FD20C0" w:rsidRPr="00851E31" w:rsidRDefault="00FD20C0" w:rsidP="00FD20C0">
      <w:pPr>
        <w:rPr>
          <w:color w:val="2B6B9E"/>
        </w:rPr>
      </w:pPr>
      <w:r w:rsidRPr="00851E31">
        <w:rPr>
          <w:color w:val="2B6B9E"/>
        </w:rPr>
        <w:t xml:space="preserve">Authorized &amp; Approved By: </w:t>
      </w:r>
    </w:p>
    <w:p w14:paraId="1D3E9C5E" w14:textId="77777777" w:rsidR="00FD20C0" w:rsidRDefault="00FD20C0" w:rsidP="00FD20C0">
      <w:pPr>
        <w:rPr>
          <w:color w:val="2B6B9E"/>
        </w:rPr>
      </w:pPr>
      <w:r w:rsidRPr="004763FF">
        <w:rPr>
          <w:color w:val="2B6B9E"/>
        </w:rPr>
        <w:t xml:space="preserve">[Company </w:t>
      </w:r>
      <w:r w:rsidRPr="009129D7">
        <w:rPr>
          <w:color w:val="2B6B9E"/>
        </w:rPr>
        <w:t>Representative</w:t>
      </w:r>
      <w:r w:rsidRPr="004763FF">
        <w:rPr>
          <w:color w:val="2B6B9E"/>
        </w:rPr>
        <w:t xml:space="preserve"> Name]</w:t>
      </w:r>
      <w:r>
        <w:rPr>
          <w:color w:val="2B6B9E"/>
        </w:rPr>
        <w:tab/>
      </w:r>
      <w:r>
        <w:rPr>
          <w:color w:val="2B6B9E"/>
        </w:rPr>
        <w:tab/>
      </w:r>
      <w:r>
        <w:rPr>
          <w:color w:val="2B6B9E"/>
        </w:rPr>
        <w:tab/>
      </w:r>
      <w:r>
        <w:rPr>
          <w:color w:val="2B6B9E"/>
        </w:rPr>
        <w:tab/>
      </w:r>
      <w:r>
        <w:rPr>
          <w:color w:val="2B6B9E"/>
        </w:rPr>
        <w:tab/>
      </w:r>
    </w:p>
    <w:p w14:paraId="060195FF" w14:textId="77777777" w:rsidR="00FD20C0" w:rsidRPr="004763FF" w:rsidRDefault="00FD20C0" w:rsidP="00FD20C0">
      <w:pPr>
        <w:rPr>
          <w:color w:val="2B6B9E"/>
        </w:rPr>
      </w:pPr>
      <w:r w:rsidRPr="004763FF">
        <w:rPr>
          <w:color w:val="2B6B9E"/>
        </w:rPr>
        <w:t>[Designation]</w:t>
      </w:r>
      <w:r>
        <w:rPr>
          <w:color w:val="2B6B9E"/>
        </w:rPr>
        <w:tab/>
      </w:r>
      <w:r>
        <w:rPr>
          <w:color w:val="2B6B9E"/>
        </w:rPr>
        <w:tab/>
      </w:r>
      <w:r>
        <w:rPr>
          <w:color w:val="2B6B9E"/>
        </w:rPr>
        <w:tab/>
      </w:r>
      <w:r>
        <w:rPr>
          <w:color w:val="2B6B9E"/>
        </w:rPr>
        <w:tab/>
      </w:r>
      <w:r>
        <w:rPr>
          <w:color w:val="2B6B9E"/>
        </w:rPr>
        <w:tab/>
      </w:r>
      <w:r>
        <w:rPr>
          <w:color w:val="2B6B9E"/>
        </w:rPr>
        <w:tab/>
      </w:r>
      <w:r>
        <w:rPr>
          <w:color w:val="2B6B9E"/>
        </w:rPr>
        <w:tab/>
      </w:r>
      <w:r>
        <w:rPr>
          <w:color w:val="2B6B9E"/>
        </w:rPr>
        <w:tab/>
      </w:r>
    </w:p>
    <w:p w14:paraId="0F6E6396" w14:textId="77777777" w:rsidR="00C71C2C" w:rsidRDefault="00C71C2C" w:rsidP="00FD20C0">
      <w:pPr>
        <w:rPr>
          <w:color w:val="2B6B9E"/>
        </w:rPr>
      </w:pPr>
    </w:p>
    <w:p w14:paraId="05E414EF" w14:textId="073A1FDE" w:rsidR="00FD20C0" w:rsidRDefault="00C71C2C" w:rsidP="00FD20C0">
      <w:pPr>
        <w:rPr>
          <w:color w:val="2B6B9E"/>
        </w:rPr>
      </w:pPr>
      <w:r>
        <w:rPr>
          <w:noProof/>
          <w:color w:val="2B6B9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52FBC" wp14:editId="53F6B4D4">
                <wp:simplePos x="0" y="0"/>
                <wp:positionH relativeFrom="column">
                  <wp:posOffset>580390</wp:posOffset>
                </wp:positionH>
                <wp:positionV relativeFrom="paragraph">
                  <wp:posOffset>123825</wp:posOffset>
                </wp:positionV>
                <wp:extent cx="12858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3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45.7pt,9.75pt" to="146.95pt,9.75pt" w14:anchorId="0756E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">
                <v:stroke joinstyle="miter"/>
              </v:line>
            </w:pict>
          </mc:Fallback>
        </mc:AlternateContent>
      </w:r>
      <w:r w:rsidR="00FD20C0" w:rsidRPr="004763FF">
        <w:rPr>
          <w:color w:val="2B6B9E"/>
        </w:rPr>
        <w:t>Signature</w:t>
      </w:r>
      <w:r w:rsidR="00FD20C0">
        <w:rPr>
          <w:noProof/>
          <w:color w:val="2B6B9E"/>
        </w:rPr>
        <w:t xml:space="preserve"> </w:t>
      </w:r>
      <w:r w:rsidR="00FD20C0">
        <w:rPr>
          <w:color w:val="2B6B9E"/>
        </w:rPr>
        <w:tab/>
      </w:r>
      <w:r w:rsidR="00FD20C0">
        <w:rPr>
          <w:color w:val="2B6B9E"/>
        </w:rPr>
        <w:tab/>
      </w:r>
      <w:r w:rsidR="00FD20C0">
        <w:rPr>
          <w:color w:val="2B6B9E"/>
        </w:rPr>
        <w:tab/>
      </w:r>
    </w:p>
    <w:p w14:paraId="1BC0DF53" w14:textId="77777777" w:rsidR="00FD20C0" w:rsidRDefault="00FD20C0" w:rsidP="00FD20C0">
      <w:pPr>
        <w:rPr>
          <w:color w:val="2B6B9E"/>
        </w:rPr>
      </w:pPr>
    </w:p>
    <w:p w14:paraId="514425BA" w14:textId="77777777" w:rsidR="00FD20C0" w:rsidRDefault="00FD20C0" w:rsidP="00FD20C0">
      <w:pPr>
        <w:rPr>
          <w:color w:val="2B6B9E"/>
        </w:rPr>
      </w:pPr>
    </w:p>
    <w:p w14:paraId="3E6841B6" w14:textId="77777777" w:rsidR="00FD20C0" w:rsidRPr="00851E31" w:rsidRDefault="00FD20C0" w:rsidP="00FD20C0">
      <w:pPr>
        <w:rPr>
          <w:color w:val="2B6B9E"/>
        </w:rPr>
      </w:pPr>
    </w:p>
    <w:p w14:paraId="11CEEECE" w14:textId="40ADC799" w:rsidR="00AA32E9" w:rsidRDefault="00AA32E9" w:rsidP="00EF181D"/>
    <w:sectPr w:rsidR="00AA32E9" w:rsidSect="00FD20C0">
      <w:headerReference w:type="default" r:id="rId10"/>
      <w:pgSz w:w="11906" w:h="16838"/>
      <w:pgMar w:top="269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727E" w14:textId="77777777" w:rsidR="00C02C81" w:rsidRDefault="00C02C81" w:rsidP="007A5843">
      <w:pPr>
        <w:spacing w:after="0" w:line="240" w:lineRule="auto"/>
      </w:pPr>
      <w:r>
        <w:separator/>
      </w:r>
    </w:p>
  </w:endnote>
  <w:endnote w:type="continuationSeparator" w:id="0">
    <w:p w14:paraId="42C1F114" w14:textId="77777777" w:rsidR="00C02C81" w:rsidRDefault="00C02C81" w:rsidP="007A5843">
      <w:pPr>
        <w:spacing w:after="0" w:line="240" w:lineRule="auto"/>
      </w:pPr>
      <w:r>
        <w:continuationSeparator/>
      </w:r>
    </w:p>
  </w:endnote>
  <w:endnote w:type="continuationNotice" w:id="1">
    <w:p w14:paraId="32DFC41C" w14:textId="77777777" w:rsidR="00C02C81" w:rsidRDefault="00C02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37EB" w14:textId="77777777" w:rsidR="00C02C81" w:rsidRDefault="00C02C81" w:rsidP="007A5843">
      <w:pPr>
        <w:spacing w:after="0" w:line="240" w:lineRule="auto"/>
      </w:pPr>
      <w:r>
        <w:separator/>
      </w:r>
    </w:p>
  </w:footnote>
  <w:footnote w:type="continuationSeparator" w:id="0">
    <w:p w14:paraId="49A4E927" w14:textId="77777777" w:rsidR="00C02C81" w:rsidRDefault="00C02C81" w:rsidP="007A5843">
      <w:pPr>
        <w:spacing w:after="0" w:line="240" w:lineRule="auto"/>
      </w:pPr>
      <w:r>
        <w:continuationSeparator/>
      </w:r>
    </w:p>
  </w:footnote>
  <w:footnote w:type="continuationNotice" w:id="1">
    <w:p w14:paraId="20FA56F2" w14:textId="77777777" w:rsidR="00C02C81" w:rsidRDefault="00C02C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410" w:type="dxa"/>
      <w:tblInd w:w="7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</w:tblGrid>
    <w:tr w:rsidR="00AA5CD0" w14:paraId="7442036A" w14:textId="77777777" w:rsidTr="00ED0F17">
      <w:trPr>
        <w:trHeight w:val="983"/>
      </w:trPr>
      <w:tc>
        <w:tcPr>
          <w:tcW w:w="2410" w:type="dxa"/>
          <w:vAlign w:val="center"/>
        </w:tcPr>
        <w:p w14:paraId="628A71F1" w14:textId="0F0AA1DE" w:rsidR="00AA5CD0" w:rsidRDefault="00405CCD" w:rsidP="00761B9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6B7E387" wp14:editId="77A08463">
                <wp:extent cx="1174286" cy="391736"/>
                <wp:effectExtent l="0" t="0" r="0" b="8890"/>
                <wp:docPr id="12" name="Picture 12" descr="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38000" b="66250" l="5750" r="92750">
                                      <a14:foregroundMark x1="5750" y1="40500" x2="7500" y2="65500"/>
                                      <a14:foregroundMark x1="50291" y1="56000" x2="50500" y2="56250"/>
                                      <a14:foregroundMark x1="50082" y1="55750" x2="50291" y2="56000"/>
                                      <a14:foregroundMark x1="49872" y1="55500" x2="50082" y2="55750"/>
                                      <a14:foregroundMark x1="49663" y1="55250" x2="49872" y2="55500"/>
                                      <a14:foregroundMark x1="49454" y1="55000" x2="49663" y2="55250"/>
                                      <a14:foregroundMark x1="49217" y1="54717" x2="49454" y2="55000"/>
                                      <a14:foregroundMark x1="46007" y1="50882" x2="46560" y2="51542"/>
                                      <a14:foregroundMark x1="41500" y1="45500" x2="42418" y2="46596"/>
                                      <a14:foregroundMark x1="41403" y1="48972" x2="40500" y2="48250"/>
                                      <a14:foregroundMark x1="43625" y1="50750" x2="43169" y2="50385"/>
                                      <a14:foregroundMark x1="44431" y1="51395" x2="43625" y2="50750"/>
                                      <a14:foregroundMark x1="49250" y1="55250" x2="48938" y2="55000"/>
                                      <a14:foregroundMark x1="49563" y1="55500" x2="49250" y2="55250"/>
                                      <a14:foregroundMark x1="49876" y1="55750" x2="49563" y2="55500"/>
                                      <a14:foregroundMark x1="50188" y1="56000" x2="49876" y2="55750"/>
                                      <a14:foregroundMark x1="50500" y1="56250" x2="50188" y2="56000"/>
                                      <a14:foregroundMark x1="40558" y1="47500" x2="40750" y2="45000"/>
                                      <a14:foregroundMark x1="40500" y1="48250" x2="40558" y2="47500"/>
                                      <a14:foregroundMark x1="50250" y1="55750" x2="51250" y2="56000"/>
                                      <a14:foregroundMark x1="49250" y1="55500" x2="50250" y2="55750"/>
                                      <a14:foregroundMark x1="48726" y1="55369" x2="49250" y2="55500"/>
                                      <a14:foregroundMark x1="41250" y1="53500" x2="42838" y2="53897"/>
                                      <a14:foregroundMark x1="74250" y1="45250" x2="73750" y2="61250"/>
                                      <a14:foregroundMark x1="83121" y1="52942" x2="82000" y2="53750"/>
                                      <a14:foregroundMark x1="67500" y1="56500" x2="57250" y2="56500"/>
                                      <a14:foregroundMark x1="48788" y1="55286" x2="49500" y2="55500"/>
                                      <a14:foregroundMark x1="42000" y1="53250" x2="43049" y2="53565"/>
                                      <a14:backgroundMark x1="43500" y1="48000" x2="44000" y2="49000"/>
                                      <a14:backgroundMark x1="43250" y1="47750" x2="44750" y2="49000"/>
                                      <a14:backgroundMark x1="43250" y1="47500" x2="43250" y2="47500"/>
                                      <a14:backgroundMark x1="44435" y1="50136" x2="43750" y2="50250"/>
                                      <a14:backgroundMark x1="43500" y1="50500" x2="43500" y2="50500"/>
                                      <a14:backgroundMark x1="43250" y1="50250" x2="43250" y2="50250"/>
                                      <a14:backgroundMark x1="43250" y1="50750" x2="43250" y2="50750"/>
                                      <a14:backgroundMark x1="91469" y1="49822" x2="89330" y2="50273"/>
                                      <a14:backgroundMark x1="91262" y1="49459" x2="85250" y2="54750"/>
                                      <a14:backgroundMark x1="84250" y1="53750" x2="84250" y2="53750"/>
                                      <a14:backgroundMark x1="89250" y1="47250" x2="93250" y2="48500"/>
                                      <a14:backgroundMark x1="45000" y1="50500" x2="46250" y2="50500"/>
                                      <a14:backgroundMark x1="44250" y1="50750" x2="44250" y2="50750"/>
                                      <a14:backgroundMark x1="43250" y1="54750" x2="48250" y2="56000"/>
                                      <a14:backgroundMark x1="48000" y1="55250" x2="48250" y2="55250"/>
                                      <a14:backgroundMark x1="48500" y1="56000" x2="48500" y2="56000"/>
                                      <a14:backgroundMark x1="48750" y1="55750" x2="48750" y2="55750"/>
                                      <a14:backgroundMark x1="43250" y1="54500" x2="43250" y2="54500"/>
                                      <a14:backgroundMark x1="43250" y1="54250" x2="43250" y2="54250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92" t="34556" r="1692" b="30011"/>
                        <a:stretch/>
                      </pic:blipFill>
                      <pic:spPr>
                        <a:xfrm>
                          <a:off x="0" y="0"/>
                          <a:ext cx="1174286" cy="391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3170FE" w14:textId="67548CBA" w:rsidR="007A5843" w:rsidRPr="0015687C" w:rsidRDefault="00FD20C0" w:rsidP="002D72D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A7BBC6" wp14:editId="291CFC7D">
              <wp:simplePos x="0" y="0"/>
              <wp:positionH relativeFrom="column">
                <wp:posOffset>-307340</wp:posOffset>
              </wp:positionH>
              <wp:positionV relativeFrom="paragraph">
                <wp:posOffset>266378</wp:posOffset>
              </wp:positionV>
              <wp:extent cx="6365240" cy="8848422"/>
              <wp:effectExtent l="19050" t="19050" r="16510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5240" cy="8848422"/>
                      </a:xfrm>
                      <a:prstGeom prst="rect">
                        <a:avLst/>
                      </a:prstGeom>
                      <a:noFill/>
                      <a:ln w="3810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>
          <w:pict>
            <v:rect id="Rectangle 1" style="position:absolute;margin-left:-24.2pt;margin-top:20.95pt;width:501.2pt;height:696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1f3763 [1604]" strokeweight="3pt" w14:anchorId="7594E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EC89"/>
    <w:multiLevelType w:val="hybridMultilevel"/>
    <w:tmpl w:val="26362FCA"/>
    <w:lvl w:ilvl="0" w:tplc="E40A1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08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A6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0D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04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65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C7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E9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4B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D1227"/>
    <w:multiLevelType w:val="hybridMultilevel"/>
    <w:tmpl w:val="A53C9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B6448"/>
    <w:multiLevelType w:val="hybridMultilevel"/>
    <w:tmpl w:val="E10C2D64"/>
    <w:lvl w:ilvl="0" w:tplc="3072CA6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B6B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572593">
    <w:abstractNumId w:val="0"/>
  </w:num>
  <w:num w:numId="2" w16cid:durableId="1215582783">
    <w:abstractNumId w:val="2"/>
  </w:num>
  <w:num w:numId="3" w16cid:durableId="193370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43"/>
    <w:rsid w:val="00040969"/>
    <w:rsid w:val="00050108"/>
    <w:rsid w:val="000509E3"/>
    <w:rsid w:val="000631D0"/>
    <w:rsid w:val="000827E5"/>
    <w:rsid w:val="00086E3F"/>
    <w:rsid w:val="000A3C90"/>
    <w:rsid w:val="000A46F2"/>
    <w:rsid w:val="000B10B9"/>
    <w:rsid w:val="000C0FA3"/>
    <w:rsid w:val="000C5997"/>
    <w:rsid w:val="000E5B2D"/>
    <w:rsid w:val="001032A8"/>
    <w:rsid w:val="00107A33"/>
    <w:rsid w:val="00115D36"/>
    <w:rsid w:val="001274EE"/>
    <w:rsid w:val="00133244"/>
    <w:rsid w:val="0013746F"/>
    <w:rsid w:val="00146484"/>
    <w:rsid w:val="00150B9B"/>
    <w:rsid w:val="001521F2"/>
    <w:rsid w:val="00154BD2"/>
    <w:rsid w:val="0015687C"/>
    <w:rsid w:val="001660E8"/>
    <w:rsid w:val="00167901"/>
    <w:rsid w:val="0017731D"/>
    <w:rsid w:val="001A48B2"/>
    <w:rsid w:val="001C38C1"/>
    <w:rsid w:val="001D71AA"/>
    <w:rsid w:val="001E2F4F"/>
    <w:rsid w:val="001F0309"/>
    <w:rsid w:val="00212C5D"/>
    <w:rsid w:val="0021304F"/>
    <w:rsid w:val="0021743E"/>
    <w:rsid w:val="002414C4"/>
    <w:rsid w:val="0024196C"/>
    <w:rsid w:val="0024422A"/>
    <w:rsid w:val="0024422D"/>
    <w:rsid w:val="00253B73"/>
    <w:rsid w:val="00257AA4"/>
    <w:rsid w:val="00287C06"/>
    <w:rsid w:val="00293704"/>
    <w:rsid w:val="002B071F"/>
    <w:rsid w:val="002B1512"/>
    <w:rsid w:val="002B202D"/>
    <w:rsid w:val="002B7252"/>
    <w:rsid w:val="002C1F98"/>
    <w:rsid w:val="002C76A2"/>
    <w:rsid w:val="002D72D4"/>
    <w:rsid w:val="002F5805"/>
    <w:rsid w:val="00321A28"/>
    <w:rsid w:val="00331244"/>
    <w:rsid w:val="003351A6"/>
    <w:rsid w:val="00337BDC"/>
    <w:rsid w:val="003402BD"/>
    <w:rsid w:val="003546FA"/>
    <w:rsid w:val="003633ED"/>
    <w:rsid w:val="00364F3F"/>
    <w:rsid w:val="003A5AFF"/>
    <w:rsid w:val="003C2113"/>
    <w:rsid w:val="003C4E0D"/>
    <w:rsid w:val="003D15E9"/>
    <w:rsid w:val="003D3D05"/>
    <w:rsid w:val="003D646A"/>
    <w:rsid w:val="003E2CD9"/>
    <w:rsid w:val="003F0920"/>
    <w:rsid w:val="00403A04"/>
    <w:rsid w:val="00405CCD"/>
    <w:rsid w:val="00407EC8"/>
    <w:rsid w:val="00411E67"/>
    <w:rsid w:val="00422D9E"/>
    <w:rsid w:val="0042610B"/>
    <w:rsid w:val="00426A5C"/>
    <w:rsid w:val="00430017"/>
    <w:rsid w:val="00430D44"/>
    <w:rsid w:val="00441258"/>
    <w:rsid w:val="004529C4"/>
    <w:rsid w:val="00454EEB"/>
    <w:rsid w:val="00462E76"/>
    <w:rsid w:val="00463EE4"/>
    <w:rsid w:val="00473ADA"/>
    <w:rsid w:val="004763FF"/>
    <w:rsid w:val="0048181F"/>
    <w:rsid w:val="00485E98"/>
    <w:rsid w:val="004B357A"/>
    <w:rsid w:val="004C28CE"/>
    <w:rsid w:val="004D3299"/>
    <w:rsid w:val="004F672F"/>
    <w:rsid w:val="00510853"/>
    <w:rsid w:val="0052075D"/>
    <w:rsid w:val="00522EA4"/>
    <w:rsid w:val="005322C3"/>
    <w:rsid w:val="00544257"/>
    <w:rsid w:val="0054629A"/>
    <w:rsid w:val="005634F8"/>
    <w:rsid w:val="00563B0A"/>
    <w:rsid w:val="00571936"/>
    <w:rsid w:val="0057239C"/>
    <w:rsid w:val="00591888"/>
    <w:rsid w:val="005B6743"/>
    <w:rsid w:val="005C5CB9"/>
    <w:rsid w:val="005E2AA7"/>
    <w:rsid w:val="005F5C1E"/>
    <w:rsid w:val="006005FC"/>
    <w:rsid w:val="00600C5C"/>
    <w:rsid w:val="00601201"/>
    <w:rsid w:val="0060161F"/>
    <w:rsid w:val="0061207E"/>
    <w:rsid w:val="006132DD"/>
    <w:rsid w:val="00615EAB"/>
    <w:rsid w:val="0064209E"/>
    <w:rsid w:val="006466DF"/>
    <w:rsid w:val="0066391D"/>
    <w:rsid w:val="006717E9"/>
    <w:rsid w:val="00685F3D"/>
    <w:rsid w:val="006A13A4"/>
    <w:rsid w:val="006D172C"/>
    <w:rsid w:val="006D679B"/>
    <w:rsid w:val="006E0592"/>
    <w:rsid w:val="007062EF"/>
    <w:rsid w:val="00711FF0"/>
    <w:rsid w:val="0072466A"/>
    <w:rsid w:val="00760680"/>
    <w:rsid w:val="00761B97"/>
    <w:rsid w:val="00772134"/>
    <w:rsid w:val="00776300"/>
    <w:rsid w:val="0078060C"/>
    <w:rsid w:val="00783809"/>
    <w:rsid w:val="007900B9"/>
    <w:rsid w:val="00794C81"/>
    <w:rsid w:val="007A5843"/>
    <w:rsid w:val="007B1DA5"/>
    <w:rsid w:val="007B3848"/>
    <w:rsid w:val="007B41B3"/>
    <w:rsid w:val="007D2F13"/>
    <w:rsid w:val="007D4389"/>
    <w:rsid w:val="007E101A"/>
    <w:rsid w:val="007E4B84"/>
    <w:rsid w:val="00803698"/>
    <w:rsid w:val="00815E68"/>
    <w:rsid w:val="00826635"/>
    <w:rsid w:val="00826A3A"/>
    <w:rsid w:val="0083699A"/>
    <w:rsid w:val="00851E31"/>
    <w:rsid w:val="00860A2B"/>
    <w:rsid w:val="0086177A"/>
    <w:rsid w:val="00880A53"/>
    <w:rsid w:val="008B7EAA"/>
    <w:rsid w:val="008C6179"/>
    <w:rsid w:val="009129D7"/>
    <w:rsid w:val="009166DC"/>
    <w:rsid w:val="00917204"/>
    <w:rsid w:val="00935214"/>
    <w:rsid w:val="009360BD"/>
    <w:rsid w:val="009372A0"/>
    <w:rsid w:val="0095373C"/>
    <w:rsid w:val="009814D4"/>
    <w:rsid w:val="0099181A"/>
    <w:rsid w:val="009A5774"/>
    <w:rsid w:val="009B2592"/>
    <w:rsid w:val="009E6276"/>
    <w:rsid w:val="00A043A5"/>
    <w:rsid w:val="00A100F5"/>
    <w:rsid w:val="00A33CD3"/>
    <w:rsid w:val="00A3738F"/>
    <w:rsid w:val="00A47A6F"/>
    <w:rsid w:val="00A534BD"/>
    <w:rsid w:val="00A60299"/>
    <w:rsid w:val="00A60F49"/>
    <w:rsid w:val="00A65203"/>
    <w:rsid w:val="00A67E0F"/>
    <w:rsid w:val="00A70ED0"/>
    <w:rsid w:val="00A77D0E"/>
    <w:rsid w:val="00A81D8F"/>
    <w:rsid w:val="00AA03FC"/>
    <w:rsid w:val="00AA32E9"/>
    <w:rsid w:val="00AA5CD0"/>
    <w:rsid w:val="00AB0012"/>
    <w:rsid w:val="00AB274F"/>
    <w:rsid w:val="00AB628F"/>
    <w:rsid w:val="00AC02E0"/>
    <w:rsid w:val="00AD01DA"/>
    <w:rsid w:val="00AD2E19"/>
    <w:rsid w:val="00AD3019"/>
    <w:rsid w:val="00AE6398"/>
    <w:rsid w:val="00AE755B"/>
    <w:rsid w:val="00AF3A34"/>
    <w:rsid w:val="00AF43A0"/>
    <w:rsid w:val="00B042E7"/>
    <w:rsid w:val="00B23BB6"/>
    <w:rsid w:val="00B279AD"/>
    <w:rsid w:val="00B41EFB"/>
    <w:rsid w:val="00B46E08"/>
    <w:rsid w:val="00B575B6"/>
    <w:rsid w:val="00B73F07"/>
    <w:rsid w:val="00B828A2"/>
    <w:rsid w:val="00B83114"/>
    <w:rsid w:val="00BA17F5"/>
    <w:rsid w:val="00BB046D"/>
    <w:rsid w:val="00BF17E4"/>
    <w:rsid w:val="00C02C81"/>
    <w:rsid w:val="00C03A1F"/>
    <w:rsid w:val="00C11B81"/>
    <w:rsid w:val="00C171A9"/>
    <w:rsid w:val="00C24327"/>
    <w:rsid w:val="00C246E2"/>
    <w:rsid w:val="00C34BCC"/>
    <w:rsid w:val="00C471ED"/>
    <w:rsid w:val="00C60E74"/>
    <w:rsid w:val="00C71C2C"/>
    <w:rsid w:val="00C755E5"/>
    <w:rsid w:val="00CA4F22"/>
    <w:rsid w:val="00CB11B1"/>
    <w:rsid w:val="00CF1D8B"/>
    <w:rsid w:val="00CF5B6B"/>
    <w:rsid w:val="00D01FB6"/>
    <w:rsid w:val="00D11B53"/>
    <w:rsid w:val="00D2778C"/>
    <w:rsid w:val="00D27E36"/>
    <w:rsid w:val="00D42391"/>
    <w:rsid w:val="00D43374"/>
    <w:rsid w:val="00D70A3B"/>
    <w:rsid w:val="00D91ACD"/>
    <w:rsid w:val="00DA21CB"/>
    <w:rsid w:val="00DA5304"/>
    <w:rsid w:val="00DB4D35"/>
    <w:rsid w:val="00DB6408"/>
    <w:rsid w:val="00DC2F2D"/>
    <w:rsid w:val="00DD2933"/>
    <w:rsid w:val="00DD7BB8"/>
    <w:rsid w:val="00DF13E9"/>
    <w:rsid w:val="00E03C8B"/>
    <w:rsid w:val="00E13DA6"/>
    <w:rsid w:val="00E13F91"/>
    <w:rsid w:val="00E242D6"/>
    <w:rsid w:val="00E25418"/>
    <w:rsid w:val="00E31288"/>
    <w:rsid w:val="00E4280F"/>
    <w:rsid w:val="00E43F57"/>
    <w:rsid w:val="00E53CBC"/>
    <w:rsid w:val="00E84151"/>
    <w:rsid w:val="00E97622"/>
    <w:rsid w:val="00EA5B43"/>
    <w:rsid w:val="00EC0542"/>
    <w:rsid w:val="00EC0B5E"/>
    <w:rsid w:val="00EC2678"/>
    <w:rsid w:val="00ED0F17"/>
    <w:rsid w:val="00EF181D"/>
    <w:rsid w:val="00EF2FF3"/>
    <w:rsid w:val="00F21707"/>
    <w:rsid w:val="00F2175D"/>
    <w:rsid w:val="00F21A68"/>
    <w:rsid w:val="00F532A7"/>
    <w:rsid w:val="00F56E9C"/>
    <w:rsid w:val="00F62834"/>
    <w:rsid w:val="00F8406D"/>
    <w:rsid w:val="00F905E7"/>
    <w:rsid w:val="00F95315"/>
    <w:rsid w:val="00FB16B9"/>
    <w:rsid w:val="00FB2F27"/>
    <w:rsid w:val="00FC021B"/>
    <w:rsid w:val="00FC652F"/>
    <w:rsid w:val="00FD20C0"/>
    <w:rsid w:val="00FE7249"/>
    <w:rsid w:val="00FE7DA9"/>
    <w:rsid w:val="00FF72B0"/>
    <w:rsid w:val="0F0317C1"/>
    <w:rsid w:val="138E1E37"/>
    <w:rsid w:val="1A777E7C"/>
    <w:rsid w:val="68B7FFCF"/>
    <w:rsid w:val="6EF521A1"/>
    <w:rsid w:val="74A4A81E"/>
    <w:rsid w:val="7CA9D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BC546"/>
  <w15:chartTrackingRefBased/>
  <w15:docId w15:val="{E7412BF5-F322-4F38-9D6F-8E24E8E5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843"/>
  </w:style>
  <w:style w:type="paragraph" w:styleId="Footer">
    <w:name w:val="footer"/>
    <w:basedOn w:val="Normal"/>
    <w:link w:val="FooterChar"/>
    <w:uiPriority w:val="99"/>
    <w:unhideWhenUsed/>
    <w:rsid w:val="007A5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843"/>
  </w:style>
  <w:style w:type="table" w:styleId="TableGrid">
    <w:name w:val="Table Grid"/>
    <w:basedOn w:val="TableNormal"/>
    <w:uiPriority w:val="39"/>
    <w:rsid w:val="00AA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BB6"/>
    <w:pPr>
      <w:ind w:left="720"/>
      <w:contextualSpacing/>
    </w:pPr>
  </w:style>
  <w:style w:type="paragraph" w:styleId="Revision">
    <w:name w:val="Revision"/>
    <w:hidden/>
    <w:uiPriority w:val="99"/>
    <w:semiHidden/>
    <w:rsid w:val="004529C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2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9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9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A6E01F9DE6E48B60D3374B361E875" ma:contentTypeVersion="5" ma:contentTypeDescription="Create a new document." ma:contentTypeScope="" ma:versionID="d92b6cef3f2e3b1272abc12151bfa47e">
  <xsd:schema xmlns:xsd="http://www.w3.org/2001/XMLSchema" xmlns:xs="http://www.w3.org/2001/XMLSchema" xmlns:p="http://schemas.microsoft.com/office/2006/metadata/properties" xmlns:ns2="5dd6129e-fa4e-4138-8ce1-4f77887304b4" xmlns:ns3="d3bed1ad-9e96-4656-839b-df4ec03ee575" targetNamespace="http://schemas.microsoft.com/office/2006/metadata/properties" ma:root="true" ma:fieldsID="36c8b6f0a4705b04c81f95cff1db7e2b" ns2:_="" ns3:_="">
    <xsd:import namespace="5dd6129e-fa4e-4138-8ce1-4f77887304b4"/>
    <xsd:import namespace="d3bed1ad-9e96-4656-839b-df4ec03ee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6129e-fa4e-4138-8ce1-4f7788730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ed1ad-9e96-4656-839b-df4ec03ee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01445-191E-4D71-94E9-08FB5DCA7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7888E-B87C-4E65-9743-6A840996E771}">
  <ds:schemaRefs>
    <ds:schemaRef ds:uri="http://schemas.microsoft.com/office/2006/documentManagement/types"/>
    <ds:schemaRef ds:uri="http://schemas.microsoft.com/office/infopath/2007/PartnerControls"/>
    <ds:schemaRef ds:uri="5dd6129e-fa4e-4138-8ce1-4f77887304b4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3bed1ad-9e96-4656-839b-df4ec03ee5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B5DE26-019F-4FD3-88BB-F57E94F53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6129e-fa4e-4138-8ce1-4f77887304b4"/>
    <ds:schemaRef ds:uri="d3bed1ad-9e96-4656-839b-df4ec03ee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Kanan</dc:creator>
  <cp:keywords/>
  <dc:description/>
  <cp:lastModifiedBy>Jo-Marie Bassig</cp:lastModifiedBy>
  <cp:revision>98</cp:revision>
  <dcterms:created xsi:type="dcterms:W3CDTF">2023-07-13T12:03:00Z</dcterms:created>
  <dcterms:modified xsi:type="dcterms:W3CDTF">2023-07-19T06:24:00Z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0x010100F8AA6E01F9DE6E48B60D3374B361E875</vt:lpwstr>
  </property>
  <property fmtid="{D5CDD505-2E9C-101B-9397-08002B2CF9AE}" pid="3" name="MSIP_Label_06bdf0c2-2e9c-45cd-9ca6-0dbcac750f17_Enabled">
    <vt:lpwstr>true</vt:lpwstr>
  </property>
  <property fmtid="{D5CDD505-2E9C-101B-9397-08002B2CF9AE}" pid="4" name="MSIP_Label_06bdf0c2-2e9c-45cd-9ca6-0dbcac750f17_SetDate">
    <vt:lpwstr>2023-07-11T11:34:42Z</vt:lpwstr>
  </property>
  <property fmtid="{D5CDD505-2E9C-101B-9397-08002B2CF9AE}" pid="5" name="MSIP_Label_06bdf0c2-2e9c-45cd-9ca6-0dbcac750f17_Method">
    <vt:lpwstr>Standard</vt:lpwstr>
  </property>
  <property fmtid="{D5CDD505-2E9C-101B-9397-08002B2CF9AE}" pid="6" name="MSIP_Label_06bdf0c2-2e9c-45cd-9ca6-0dbcac750f17_Name">
    <vt:lpwstr>General</vt:lpwstr>
  </property>
  <property fmtid="{D5CDD505-2E9C-101B-9397-08002B2CF9AE}" pid="7" name="MSIP_Label_06bdf0c2-2e9c-45cd-9ca6-0dbcac750f17_SiteId">
    <vt:lpwstr>eeb14196-63dc-45aa-ac42-0a4583b12590</vt:lpwstr>
  </property>
  <property fmtid="{D5CDD505-2E9C-101B-9397-08002B2CF9AE}" pid="8" name="MSIP_Label_06bdf0c2-2e9c-45cd-9ca6-0dbcac750f17_ActionId">
    <vt:lpwstr>7218d66b-557a-4741-9c3b-51f1ef1f369a</vt:lpwstr>
  </property>
  <property fmtid="{D5CDD505-2E9C-101B-9397-08002B2CF9AE}" pid="9" name="MSIP_Label_06bdf0c2-2e9c-45cd-9ca6-0dbcac750f17_ContentBits">
    <vt:lpwstr>0</vt:lpwstr>
  </property>
</Properties>
</file>